
<file path=[Content_Types].xml><?xml version="1.0" encoding="utf-8"?>
<Types xmlns="http://schemas.openxmlformats.org/package/2006/content-types">
  <Default Extension="xml" ContentType="application/xml"/>
  <Default Extension="png" ContentType="image/png"/>
  <Default Extension="tiff" ContentType="image/tif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45"/>
      </w:tblGrid>
      <w:tr w14:paraId="1D9EED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75B802E0">
            <w:pPr>
              <w:pStyle w:val="18"/>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7F7D1261">
            <w:pPr>
              <w:pStyle w:val="18"/>
              <w:framePr w:wrap="notBeside" w:vAnchor="page" w:hAnchor="page" w:x="1372" w:y="568"/>
              <w:tabs>
                <w:tab w:val="clear" w:pos="4153"/>
                <w:tab w:val="clear" w:pos="8306"/>
              </w:tabs>
              <w:spacing w:line="240" w:lineRule="auto"/>
              <w:ind w:left="3"/>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65.060.01</w:t>
            </w:r>
            <w:r>
              <w:rPr>
                <w:rFonts w:ascii="黑体" w:hAnsi="黑体" w:eastAsia="黑体"/>
                <w:sz w:val="21"/>
                <w:szCs w:val="21"/>
              </w:rPr>
              <w:fldChar w:fldCharType="end"/>
            </w:r>
            <w:bookmarkEnd w:id="0"/>
          </w:p>
        </w:tc>
      </w:tr>
      <w:tr w14:paraId="6358AF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07389DBF">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14:paraId="7CBA78DB">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B 90</w:t>
            </w:r>
            <w:r>
              <w:rPr>
                <w:rFonts w:ascii="黑体" w:hAnsi="黑体" w:eastAsia="黑体"/>
                <w:sz w:val="21"/>
                <w:szCs w:val="21"/>
              </w:rPr>
              <w:fldChar w:fldCharType="end"/>
            </w:r>
            <w:bookmarkEnd w:id="1"/>
          </w:p>
        </w:tc>
      </w:tr>
    </w:tbl>
    <w:p w14:paraId="6B0253A1">
      <w:pPr>
        <w:pStyle w:val="50"/>
        <w:framePr w:w="9639" w:h="624" w:hRule="exact" w:hSpace="181" w:vSpace="181" w:wrap="around" w:hAnchor="page" w:x="1305" w:y="2269"/>
      </w:pPr>
      <w:bookmarkStart w:id="2" w:name="_Hlk26473981"/>
      <w:r>
        <w:rPr>
          <w:rFonts w:hint="eastAsia"/>
        </w:rPr>
        <w:t>中华人民共和国国家标准</w:t>
      </w:r>
    </w:p>
    <w:bookmarkEnd w:id="2"/>
    <w:p w14:paraId="2CF3466F">
      <w:pPr>
        <w:pStyle w:val="195"/>
        <w:rPr>
          <w:lang w:val="fr-FR"/>
        </w:rPr>
      </w:pPr>
      <w:r>
        <w:fldChar w:fldCharType="begin">
          <w:ffData>
            <w:name w:val="文字1"/>
            <w:enabled/>
            <w:calcOnExit w:val="0"/>
            <w:textInput>
              <w:default w:val="GB/T"/>
            </w:textInput>
          </w:ffData>
        </w:fldChar>
      </w:r>
      <w:bookmarkStart w:id="3" w:name="文字1"/>
      <w:r>
        <w:rPr>
          <w:lang w:val="fr-FR"/>
        </w:rPr>
        <w:instrText xml:space="preserve"> FORMTEXT </w:instrText>
      </w:r>
      <w:r>
        <w:fldChar w:fldCharType="separate"/>
      </w:r>
      <w:r>
        <w:rPr>
          <w:lang w:val="fr-FR"/>
        </w:rPr>
        <w:t>GB/T</w:t>
      </w:r>
      <w:r>
        <w:fldChar w:fldCharType="end"/>
      </w:r>
      <w:bookmarkEnd w:id="3"/>
      <w:r>
        <w:rPr>
          <w:lang w:val="fr-FR"/>
        </w:rPr>
        <w:t xml:space="preserve"> </w:t>
      </w:r>
      <w:r>
        <w:fldChar w:fldCharType="begin">
          <w:ffData>
            <w:name w:val="NSTD_CODE_F"/>
            <w:enabled/>
            <w:calcOnExit w:val="0"/>
            <w:textInput>
              <w:default w:val="XXXXX"/>
            </w:textInput>
          </w:ffData>
        </w:fldChar>
      </w:r>
      <w:bookmarkStart w:id="4" w:name="NSTD_CODE_F"/>
      <w:r>
        <w:rPr>
          <w:lang w:val="fr-FR"/>
        </w:rPr>
        <w:instrText xml:space="preserve"> FORMTEXT </w:instrText>
      </w:r>
      <w:r>
        <w:fldChar w:fldCharType="separate"/>
      </w:r>
      <w:r>
        <w:rPr>
          <w:lang w:val="fr-FR"/>
        </w:rPr>
        <w:t>XXXXX</w:t>
      </w:r>
      <w:r>
        <w:fldChar w:fldCharType="end"/>
      </w:r>
      <w:bookmarkEnd w:id="4"/>
      <w:r>
        <w:rPr>
          <w:rFonts w:hAnsi="黑体"/>
          <w:lang w:val="fr-FR"/>
        </w:rPr>
        <w:t>—</w:t>
      </w:r>
      <w:r>
        <w:fldChar w:fldCharType="begin">
          <w:ffData>
            <w:name w:val="NSTD_CODE_B"/>
            <w:enabled/>
            <w:calcOnExit w:val="0"/>
            <w:textInput>
              <w:default w:val="XXXX"/>
            </w:textInput>
          </w:ffData>
        </w:fldChar>
      </w:r>
      <w:bookmarkStart w:id="5" w:name="NSTD_CODE_B"/>
      <w:r>
        <w:rPr>
          <w:lang w:val="fr-FR"/>
        </w:rPr>
        <w:instrText xml:space="preserve"> FORMTEXT </w:instrText>
      </w:r>
      <w:r>
        <w:fldChar w:fldCharType="separate"/>
      </w:r>
      <w:r>
        <w:rPr>
          <w:lang w:val="fr-FR"/>
        </w:rPr>
        <w:t>XXXX</w:t>
      </w:r>
      <w:r>
        <w:fldChar w:fldCharType="end"/>
      </w:r>
      <w:bookmarkEnd w:id="5"/>
    </w:p>
    <w:p w14:paraId="1A47AB30">
      <w:pPr>
        <w:pStyle w:val="196"/>
        <w:rPr>
          <w:rFonts w:hAnsi="黑体"/>
        </w:rPr>
      </w:pPr>
      <w:r>
        <w:rPr>
          <w:rFonts w:hAnsi="黑体"/>
        </w:rPr>
        <w:fldChar w:fldCharType="begin">
          <w:ffData>
            <w:name w:val="OSTD_CODE"/>
            <w:enabled/>
            <w:calcOnExit w:val="0"/>
            <w:textInput/>
          </w:ffData>
        </w:fldChar>
      </w:r>
      <w:bookmarkStart w:id="6"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6"/>
    </w:p>
    <w:p w14:paraId="4E1CBBAB">
      <w:pPr>
        <w:spacing w:line="240" w:lineRule="auto"/>
        <w:ind w:left="8080"/>
        <w:rPr>
          <w:rFonts w:ascii="黑体" w:hAnsi="黑体" w:eastAsia="黑体"/>
          <w:kern w:val="0"/>
          <w:sz w:val="52"/>
          <w:szCs w:val="20"/>
        </w:rPr>
      </w:pPr>
      <w:r>
        <w:rPr>
          <w:rFonts w:ascii="黑体" w:hAnsi="黑体" w:eastAsia="黑体"/>
          <w:kern w:val="0"/>
          <w:sz w:val="52"/>
          <w:szCs w:val="20"/>
        </w:rPr>
        <mc:AlternateContent>
          <mc:Choice Requires="wps">
            <w:drawing>
              <wp:anchor distT="0" distB="0" distL="114300" distR="114300" simplePos="0" relativeHeight="251660288"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60288;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r>
        <w:rPr>
          <w:rFonts w:ascii="黑体" w:hAnsi="黑体" w:eastAsia="黑体"/>
          <w:kern w:val="0"/>
          <w:sz w:val="52"/>
          <w:szCs w:val="20"/>
        </w:rPr>
        <w:drawing>
          <wp:anchor distT="0" distB="0" distL="114300" distR="114300" simplePos="0" relativeHeight="251659264" behindDoc="0" locked="0" layoutInCell="1" allowOverlap="0">
            <wp:simplePos x="0" y="0"/>
            <wp:positionH relativeFrom="page">
              <wp:posOffset>5004435</wp:posOffset>
            </wp:positionH>
            <wp:positionV relativeFrom="page">
              <wp:posOffset>466725</wp:posOffset>
            </wp:positionV>
            <wp:extent cx="1447165" cy="732790"/>
            <wp:effectExtent l="0" t="0" r="635" b="0"/>
            <wp:wrapNone/>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1447200" cy="732960"/>
                    </a:xfrm>
                    <a:prstGeom prst="rect">
                      <a:avLst/>
                    </a:prstGeom>
                    <a:noFill/>
                    <a:ln>
                      <a:noFill/>
                    </a:ln>
                  </pic:spPr>
                </pic:pic>
              </a:graphicData>
            </a:graphic>
          </wp:anchor>
        </w:drawing>
      </w:r>
    </w:p>
    <w:p w14:paraId="757A4B2B">
      <w:pPr>
        <w:pStyle w:val="50"/>
        <w:framePr w:w="9639" w:h="6976" w:hRule="exact" w:hSpace="0" w:vSpace="0" w:wrap="around" w:hAnchor="page" w:y="6408"/>
        <w:jc w:val="center"/>
        <w:rPr>
          <w:rFonts w:ascii="黑体" w:hAnsi="黑体" w:eastAsia="黑体"/>
          <w:b w:val="0"/>
          <w:bCs w:val="0"/>
          <w:w w:val="100"/>
        </w:rPr>
      </w:pPr>
    </w:p>
    <w:p w14:paraId="5BF0254F">
      <w:pPr>
        <w:pStyle w:val="197"/>
        <w:framePr w:h="6974" w:hRule="exact" w:wrap="around" w:x="1419" w:anchorLock="1"/>
      </w:pPr>
      <w:r>
        <w:fldChar w:fldCharType="begin">
          <w:ffData>
            <w:name w:val="CSTD_NAME"/>
            <w:enabled/>
            <w:calcOnExit w:val="0"/>
            <w:textInput>
              <w:default w:val="点击此处添加标准名称"/>
            </w:textInput>
          </w:ffData>
        </w:fldChar>
      </w:r>
      <w:bookmarkStart w:id="7" w:name="CSTD_NAME"/>
      <w:r>
        <w:instrText xml:space="preserve"> FORMTEXT </w:instrText>
      </w:r>
      <w:r>
        <w:fldChar w:fldCharType="separate"/>
      </w:r>
      <w:r>
        <w:rPr>
          <w:rFonts w:hint="eastAsia"/>
        </w:rPr>
        <w:t>废旧农业机械回收体系建设规范</w:t>
      </w:r>
      <w:r>
        <w:fldChar w:fldCharType="end"/>
      </w:r>
      <w:bookmarkEnd w:id="7"/>
    </w:p>
    <w:p w14:paraId="3F02B54C">
      <w:pPr>
        <w:framePr w:w="9639" w:h="6974" w:hRule="exact" w:wrap="around" w:vAnchor="page" w:hAnchor="page" w:x="1419" w:y="6408" w:anchorLock="1"/>
        <w:ind w:left="-1418"/>
      </w:pPr>
    </w:p>
    <w:p w14:paraId="1C14E9F7">
      <w:pPr>
        <w:pStyle w:val="125"/>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8" w:name="ESTD_NAME"/>
      <w:r>
        <w:rPr>
          <w:rFonts w:eastAsia="黑体"/>
          <w:szCs w:val="28"/>
        </w:rPr>
        <w:instrText xml:space="preserve"> FORMTEXT </w:instrText>
      </w:r>
      <w:r>
        <w:rPr>
          <w:rFonts w:eastAsia="黑体"/>
          <w:szCs w:val="28"/>
        </w:rPr>
        <w:fldChar w:fldCharType="separate"/>
      </w:r>
      <w:r>
        <w:rPr>
          <w:rFonts w:hint="eastAsia" w:eastAsia="黑体"/>
          <w:szCs w:val="28"/>
        </w:rPr>
        <w:t>Construction specification of waste agricultural machinery recycling system</w:t>
      </w:r>
      <w:r>
        <w:rPr>
          <w:rFonts w:eastAsia="黑体"/>
          <w:szCs w:val="28"/>
        </w:rPr>
        <w:fldChar w:fldCharType="end"/>
      </w:r>
      <w:bookmarkEnd w:id="8"/>
    </w:p>
    <w:p w14:paraId="53CC1C7A">
      <w:pPr>
        <w:framePr w:w="9639" w:h="6974" w:hRule="exact" w:wrap="around" w:vAnchor="page" w:hAnchor="page" w:x="1419" w:y="6408" w:anchorLock="1"/>
        <w:spacing w:line="760" w:lineRule="exact"/>
        <w:ind w:left="-1418"/>
      </w:pPr>
    </w:p>
    <w:p w14:paraId="62F1C837">
      <w:pPr>
        <w:pStyle w:val="125"/>
        <w:framePr w:w="9639" w:h="6974" w:hRule="exact" w:wrap="around" w:vAnchor="page" w:hAnchor="page" w:x="1419" w:y="6408" w:anchorLock="1"/>
        <w:textAlignment w:val="bottom"/>
        <w:rPr>
          <w:rFonts w:eastAsia="黑体"/>
          <w:szCs w:val="28"/>
        </w:rPr>
      </w:pPr>
      <w:r>
        <w:rPr>
          <w:rFonts w:eastAsia="黑体"/>
          <w:szCs w:val="28"/>
        </w:rPr>
        <w:fldChar w:fldCharType="begin">
          <w:ffData>
            <w:name w:val="IN_STD_CODE"/>
            <w:enabled/>
            <w:calcOnExit w:val="0"/>
            <w:textInput>
              <w:default w:val="(点击此处添加与国际标准一致性程度的标识)"/>
            </w:textInput>
          </w:ffData>
        </w:fldChar>
      </w:r>
      <w:bookmarkStart w:id="9" w:name="IN_STD_CODE"/>
      <w:r>
        <w:rPr>
          <w:rFonts w:eastAsia="黑体"/>
          <w:szCs w:val="28"/>
        </w:rPr>
        <w:instrText xml:space="preserve"> FORMTEXT </w:instrText>
      </w:r>
      <w:r>
        <w:rPr>
          <w:rFonts w:eastAsia="黑体"/>
          <w:szCs w:val="28"/>
        </w:rPr>
        <w:fldChar w:fldCharType="separate"/>
      </w:r>
      <w:r>
        <w:rPr>
          <w:rFonts w:hint="eastAsia" w:eastAsia="黑体"/>
          <w:szCs w:val="28"/>
        </w:rPr>
        <w:t>(点击此处添加与国际标准一致性程度的标识)</w:t>
      </w:r>
      <w:r>
        <w:rPr>
          <w:rFonts w:eastAsia="黑体"/>
          <w:szCs w:val="28"/>
        </w:rPr>
        <w:fldChar w:fldCharType="end"/>
      </w:r>
      <w:bookmarkEnd w:id="9"/>
    </w:p>
    <w:p w14:paraId="2F77409E">
      <w:pPr>
        <w:pStyle w:val="12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0" w:name="下拉1"/>
      <w:r>
        <w:rPr>
          <w:sz w:val="24"/>
          <w:szCs w:val="28"/>
        </w:rPr>
        <w:instrText xml:space="preserve"> FORMDROPDOWN </w:instrText>
      </w:r>
      <w:r>
        <w:rPr>
          <w:sz w:val="24"/>
          <w:szCs w:val="28"/>
        </w:rPr>
        <w:fldChar w:fldCharType="separate"/>
      </w:r>
      <w:r>
        <w:rPr>
          <w:sz w:val="24"/>
          <w:szCs w:val="28"/>
        </w:rPr>
        <w:fldChar w:fldCharType="end"/>
      </w:r>
      <w:bookmarkEnd w:id="10"/>
    </w:p>
    <w:p w14:paraId="1B24C481">
      <w:pPr>
        <w:pStyle w:val="12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1"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1"/>
    </w:p>
    <w:p w14:paraId="0CBF15E6">
      <w:pPr>
        <w:pStyle w:val="125"/>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2" w:name="下拉2"/>
      <w:r>
        <w:rPr>
          <w:b/>
          <w:sz w:val="21"/>
          <w:szCs w:val="28"/>
        </w:rPr>
        <w:instrText xml:space="preserve"> FORMDROPDOWN </w:instrText>
      </w:r>
      <w:r>
        <w:rPr>
          <w:b/>
          <w:sz w:val="21"/>
          <w:szCs w:val="28"/>
        </w:rPr>
        <w:fldChar w:fldCharType="separate"/>
      </w:r>
      <w:r>
        <w:rPr>
          <w:b/>
          <w:sz w:val="21"/>
          <w:szCs w:val="28"/>
        </w:rPr>
        <w:fldChar w:fldCharType="end"/>
      </w:r>
      <w:bookmarkEnd w:id="12"/>
    </w:p>
    <w:p w14:paraId="27681308">
      <w:pPr>
        <w:pStyle w:val="193"/>
        <w:framePr w:wrap="around" w:y="14176"/>
      </w:pPr>
      <w:r>
        <w:rPr>
          <w:rFonts w:ascii="黑体"/>
        </w:rPr>
        <w:fldChar w:fldCharType="begin">
          <w:ffData>
            <w:name w:val="PLSH_DATE_Y"/>
            <w:enabled/>
            <w:calcOnExit w:val="0"/>
            <w:textInput>
              <w:default w:val="XXXX"/>
              <w:maxLength w:val="4"/>
            </w:textInput>
          </w:ffData>
        </w:fldChar>
      </w:r>
      <w:bookmarkStart w:id="13"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3"/>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4"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4"/>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5"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rPr>
          <w:rFonts w:hint="eastAsia"/>
        </w:rPr>
        <w:t>发布</w:t>
      </w:r>
    </w:p>
    <w:p w14:paraId="5D6B0DDF">
      <w:pPr>
        <w:pStyle w:val="194"/>
        <w:framePr w:wrap="around" w:y="14176"/>
      </w:pPr>
      <w:r>
        <w:rPr>
          <w:rFonts w:ascii="黑体"/>
        </w:rPr>
        <w:fldChar w:fldCharType="begin">
          <w:ffData>
            <w:name w:val="CROT_DATE_Y"/>
            <w:enabled/>
            <w:calcOnExit w:val="0"/>
            <w:textInput>
              <w:default w:val="XXXX"/>
              <w:maxLength w:val="4"/>
            </w:textInput>
          </w:ffData>
        </w:fldChar>
      </w:r>
      <w:bookmarkStart w:id="16"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6"/>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7"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7"/>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8"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rPr>
          <w:rFonts w:hint="eastAsia"/>
        </w:rPr>
        <w:t>实施</w:t>
      </w:r>
    </w:p>
    <w:p w14:paraId="54E07343">
      <w:pPr>
        <w:rPr>
          <w:rFonts w:ascii="宋体" w:hAnsi="宋体"/>
          <w:sz w:val="28"/>
          <w:szCs w:val="28"/>
        </w:rPr>
        <w:sectPr>
          <w:headerReference r:id="rId6" w:type="first"/>
          <w:footerReference r:id="rId8" w:type="first"/>
          <w:headerReference r:id="rId5" w:type="default"/>
          <w:footerReference r:id="rId7"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w:drawing>
          <wp:anchor distT="0" distB="0" distL="114300" distR="114300" simplePos="0" relativeHeight="251662336" behindDoc="0" locked="0" layoutInCell="1" allowOverlap="1">
            <wp:simplePos x="0" y="0"/>
            <wp:positionH relativeFrom="column">
              <wp:posOffset>1610360</wp:posOffset>
            </wp:positionH>
            <wp:positionV relativeFrom="paragraph">
              <wp:posOffset>8281035</wp:posOffset>
            </wp:positionV>
            <wp:extent cx="2868930" cy="545465"/>
            <wp:effectExtent l="0" t="0" r="0" b="7620"/>
            <wp:wrapNone/>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868840" cy="545400"/>
                    </a:xfrm>
                    <a:prstGeom prst="rect">
                      <a:avLst/>
                    </a:prstGeom>
                  </pic:spPr>
                </pic:pic>
              </a:graphicData>
            </a:graphic>
          </wp:anchor>
        </w:drawing>
      </w:r>
      <w:r>
        <w:rPr>
          <w:rFonts w:hint="eastAsia" w:ascii="宋体" w:hAnsi="宋体"/>
          <w:sz w:val="28"/>
          <w:szCs w:val="28"/>
        </w:rPr>
        <mc:AlternateContent>
          <mc:Choice Requires="wps">
            <w:drawing>
              <wp:anchor distT="0" distB="0" distL="114300" distR="114300" simplePos="0" relativeHeight="251661312"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1312;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r>
        <w:rPr>
          <w:rFonts w:hint="eastAsia" w:ascii="宋体" w:hAnsi="宋体"/>
          <w:sz w:val="28"/>
          <w:szCs w:val="28"/>
        </w:rPr>
        <w:t>`</w:t>
      </w:r>
    </w:p>
    <w:p w14:paraId="2E050A0B">
      <w:pPr>
        <w:pStyle w:val="89"/>
        <w:spacing w:after="468"/>
      </w:pPr>
      <w:bookmarkStart w:id="19" w:name="BookMark2"/>
      <w:r>
        <w:rPr>
          <w:rFonts w:hint="eastAsia"/>
          <w:spacing w:val="320"/>
        </w:rPr>
        <w:t>前</w:t>
      </w:r>
      <w:r>
        <w:rPr>
          <w:rFonts w:hint="eastAsia"/>
        </w:rPr>
        <w:t>言</w:t>
      </w:r>
    </w:p>
    <w:p w14:paraId="47BA6477">
      <w:pPr>
        <w:pStyle w:val="56"/>
        <w:ind w:firstLine="420"/>
      </w:pPr>
      <w:r>
        <w:rPr>
          <w:rFonts w:hint="eastAsia"/>
        </w:rPr>
        <w:t>本文件按照GB/T 1.1—2020《标准化工作导则  第1部分：标准化文件的结构和起草规则》的规定起草。</w:t>
      </w:r>
    </w:p>
    <w:p w14:paraId="1024F7B8">
      <w:pPr>
        <w:pStyle w:val="56"/>
        <w:ind w:firstLine="420"/>
      </w:pPr>
    </w:p>
    <w:p w14:paraId="11FFFBCC">
      <w:pPr>
        <w:pStyle w:val="56"/>
        <w:ind w:firstLine="420"/>
      </w:pPr>
    </w:p>
    <w:p w14:paraId="6CADE395">
      <w:pPr>
        <w:pStyle w:val="56"/>
        <w:ind w:firstLine="420"/>
      </w:pPr>
    </w:p>
    <w:p w14:paraId="360A2498">
      <w:pPr>
        <w:pStyle w:val="56"/>
        <w:ind w:firstLine="420"/>
      </w:pPr>
      <w:r>
        <w:rPr>
          <w:rFonts w:hint="eastAsia"/>
        </w:rPr>
        <w:t>本文件由××××提出。</w:t>
      </w:r>
    </w:p>
    <w:p w14:paraId="1E9043E1">
      <w:pPr>
        <w:pStyle w:val="56"/>
        <w:ind w:firstLine="420"/>
      </w:pPr>
      <w:r>
        <w:rPr>
          <w:rFonts w:hint="eastAsia"/>
        </w:rPr>
        <w:t>本文件由××××归口。</w:t>
      </w:r>
    </w:p>
    <w:p w14:paraId="395E42E3">
      <w:pPr>
        <w:pStyle w:val="56"/>
        <w:ind w:firstLine="420"/>
      </w:pPr>
      <w:r>
        <w:rPr>
          <w:rFonts w:hint="eastAsia"/>
        </w:rPr>
        <w:t>本文件起草单位：</w:t>
      </w:r>
    </w:p>
    <w:p w14:paraId="021061E5">
      <w:pPr>
        <w:pStyle w:val="56"/>
        <w:ind w:firstLine="420"/>
      </w:pPr>
      <w:r>
        <w:rPr>
          <w:rFonts w:hint="eastAsia"/>
        </w:rPr>
        <w:t>本文件主要起草人：</w:t>
      </w:r>
    </w:p>
    <w:p w14:paraId="2C6C9412">
      <w:pPr>
        <w:pStyle w:val="56"/>
        <w:ind w:firstLine="420"/>
      </w:pPr>
    </w:p>
    <w:p w14:paraId="23B252D4">
      <w:pPr>
        <w:pStyle w:val="56"/>
        <w:ind w:firstLine="420"/>
        <w:sectPr>
          <w:headerReference r:id="rId9" w:type="default"/>
          <w:footerReference r:id="rId11" w:type="default"/>
          <w:headerReference r:id="rId10" w:type="even"/>
          <w:pgSz w:w="11906" w:h="16838"/>
          <w:pgMar w:top="1928" w:right="1134" w:bottom="1134" w:left="1134" w:header="1418" w:footer="1134" w:gutter="284"/>
          <w:pgNumType w:fmt="upperRoman" w:start="1"/>
          <w:cols w:space="425" w:num="1"/>
          <w:formProt w:val="0"/>
          <w:docGrid w:type="lines" w:linePitch="312" w:charSpace="0"/>
        </w:sectPr>
      </w:pPr>
    </w:p>
    <w:bookmarkEnd w:id="19"/>
    <w:p w14:paraId="0A19FBCE">
      <w:pPr>
        <w:spacing w:line="20" w:lineRule="exact"/>
        <w:jc w:val="center"/>
        <w:rPr>
          <w:rFonts w:ascii="黑体" w:hAnsi="黑体" w:eastAsia="黑体"/>
          <w:sz w:val="32"/>
          <w:szCs w:val="32"/>
        </w:rPr>
      </w:pPr>
      <w:bookmarkStart w:id="20" w:name="BookMark4"/>
    </w:p>
    <w:p w14:paraId="60704408">
      <w:pPr>
        <w:spacing w:line="20" w:lineRule="exact"/>
        <w:jc w:val="center"/>
        <w:rPr>
          <w:rFonts w:ascii="黑体" w:hAnsi="黑体" w:eastAsia="黑体"/>
          <w:sz w:val="32"/>
          <w:szCs w:val="32"/>
        </w:rPr>
      </w:pPr>
    </w:p>
    <w:sdt>
      <w:sdtPr>
        <w:tag w:val="NEW_STAND_NAME"/>
        <w:id w:val="595910757"/>
        <w:lock w:val="sdtLocked"/>
        <w:placeholder>
          <w:docPart w:val="F95113A765E4465E9A52C8F04634150C"/>
        </w:placeholder>
      </w:sdtPr>
      <w:sdtContent>
        <w:p w14:paraId="4A43ED37">
          <w:pPr>
            <w:pStyle w:val="177"/>
            <w:spacing w:before="3" w:beforeLines="1" w:after="686" w:afterLines="220"/>
          </w:pPr>
          <w:bookmarkStart w:id="21" w:name="NEW_STAND_NAME"/>
          <w:r>
            <w:rPr>
              <w:rFonts w:hint="eastAsia"/>
            </w:rPr>
            <w:t>废旧农业机械回收体系建设规范</w:t>
          </w:r>
        </w:p>
      </w:sdtContent>
    </w:sdt>
    <w:bookmarkEnd w:id="21"/>
    <w:p w14:paraId="6F4051A5">
      <w:pPr>
        <w:pStyle w:val="104"/>
        <w:spacing w:before="312" w:after="312"/>
      </w:pPr>
      <w:bookmarkStart w:id="22" w:name="_Toc97190718"/>
      <w:bookmarkStart w:id="23" w:name="_Toc17233333"/>
      <w:bookmarkStart w:id="24" w:name="_Toc24884211"/>
      <w:bookmarkStart w:id="25" w:name="_Toc26718930"/>
      <w:bookmarkStart w:id="26" w:name="_Toc17233325"/>
      <w:bookmarkStart w:id="27" w:name="_Toc26986530"/>
      <w:bookmarkStart w:id="28" w:name="_Toc24884218"/>
      <w:bookmarkStart w:id="29" w:name="_Toc26986771"/>
      <w:bookmarkStart w:id="30" w:name="_Toc26648465"/>
      <w:r>
        <w:rPr>
          <w:rFonts w:hint="eastAsia"/>
        </w:rPr>
        <w:t>范围</w:t>
      </w:r>
      <w:bookmarkEnd w:id="22"/>
      <w:bookmarkEnd w:id="23"/>
      <w:bookmarkEnd w:id="24"/>
      <w:bookmarkEnd w:id="25"/>
      <w:bookmarkEnd w:id="26"/>
      <w:bookmarkEnd w:id="27"/>
      <w:bookmarkEnd w:id="28"/>
      <w:bookmarkEnd w:id="29"/>
      <w:bookmarkEnd w:id="30"/>
    </w:p>
    <w:p w14:paraId="4AE84CB7">
      <w:pPr>
        <w:pStyle w:val="56"/>
        <w:ind w:firstLine="420"/>
      </w:pPr>
      <w:bookmarkStart w:id="31" w:name="_Toc17233334"/>
      <w:bookmarkStart w:id="32" w:name="_Toc17233326"/>
      <w:bookmarkStart w:id="33" w:name="_Toc24884212"/>
      <w:bookmarkStart w:id="34" w:name="_Toc26648466"/>
      <w:bookmarkStart w:id="35" w:name="_Toc24884219"/>
      <w:r>
        <w:rPr>
          <w:rFonts w:hint="eastAsia"/>
        </w:rPr>
        <w:t>本文件规定了废旧农业机械回收体系的构成和建设要求，描述了废旧农业机械回收体系建设的证实方法。</w:t>
      </w:r>
    </w:p>
    <w:p w14:paraId="0B597B83">
      <w:pPr>
        <w:pStyle w:val="56"/>
        <w:ind w:firstLine="420"/>
      </w:pPr>
      <w:r>
        <w:rPr>
          <w:rFonts w:hint="eastAsia"/>
        </w:rPr>
        <w:t>本文适用于报废的拖拉机、联合收割机、播种机等主要农业机械的回收体系建设。</w:t>
      </w:r>
    </w:p>
    <w:p w14:paraId="39240012">
      <w:pPr>
        <w:pStyle w:val="104"/>
        <w:spacing w:before="312" w:after="312"/>
      </w:pPr>
      <w:bookmarkStart w:id="36" w:name="_Toc26718931"/>
      <w:bookmarkStart w:id="37" w:name="_Toc26986531"/>
      <w:bookmarkStart w:id="38" w:name="_Toc26986772"/>
      <w:bookmarkStart w:id="39" w:name="_Toc97190719"/>
      <w:r>
        <w:rPr>
          <w:rFonts w:hint="eastAsia"/>
        </w:rPr>
        <w:t>规范性引用文件</w:t>
      </w:r>
      <w:bookmarkEnd w:id="31"/>
      <w:bookmarkEnd w:id="32"/>
      <w:bookmarkEnd w:id="33"/>
      <w:bookmarkEnd w:id="34"/>
      <w:bookmarkEnd w:id="35"/>
      <w:bookmarkEnd w:id="36"/>
      <w:bookmarkEnd w:id="37"/>
      <w:bookmarkEnd w:id="38"/>
      <w:bookmarkEnd w:id="39"/>
    </w:p>
    <w:sdt>
      <w:sdtPr>
        <w:rPr>
          <w:rFonts w:hint="eastAsia"/>
        </w:rPr>
        <w:id w:val="715848253"/>
        <w:placeholder>
          <w:docPart w:val="BDE615064EFD473C9CFE3D2A4DF59774"/>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33CE5CA9">
          <w:pPr>
            <w:pStyle w:val="5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09C5E731">
      <w:pPr>
        <w:pStyle w:val="56"/>
        <w:ind w:firstLine="420"/>
      </w:pPr>
      <w:r>
        <w:rPr>
          <w:rFonts w:hint="eastAsia"/>
        </w:rPr>
        <w:t>GBZ 188  职业健康监护技术规范</w:t>
      </w:r>
    </w:p>
    <w:p w14:paraId="69901750">
      <w:pPr>
        <w:pStyle w:val="56"/>
        <w:ind w:firstLine="420"/>
      </w:pPr>
      <w:r>
        <w:rPr>
          <w:rFonts w:hint="eastAsia"/>
        </w:rPr>
        <w:t>GB 2894  安全标志及其使用导则</w:t>
      </w:r>
    </w:p>
    <w:p w14:paraId="2E209C64">
      <w:pPr>
        <w:pStyle w:val="56"/>
        <w:ind w:firstLine="420"/>
      </w:pPr>
      <w:r>
        <w:rPr>
          <w:rFonts w:hint="eastAsia"/>
        </w:rPr>
        <w:t>GB 8978  污水综合排放标准</w:t>
      </w:r>
    </w:p>
    <w:p w14:paraId="6CD8BEAF">
      <w:pPr>
        <w:pStyle w:val="56"/>
        <w:ind w:firstLine="420"/>
      </w:pPr>
      <w:r>
        <w:rPr>
          <w:rFonts w:hint="eastAsia"/>
        </w:rPr>
        <w:t>GB 12348  工业企业厂界环境噪声排放标准</w:t>
      </w:r>
    </w:p>
    <w:p w14:paraId="0CB6C9A0">
      <w:pPr>
        <w:pStyle w:val="56"/>
        <w:ind w:firstLine="420"/>
      </w:pPr>
      <w:r>
        <w:rPr>
          <w:rFonts w:hint="eastAsia"/>
        </w:rPr>
        <w:t>GB 15562.2  环境保护图形标志 固体废物贮存（处置）场</w:t>
      </w:r>
    </w:p>
    <w:p w14:paraId="08862660">
      <w:pPr>
        <w:pStyle w:val="56"/>
        <w:ind w:firstLine="420"/>
      </w:pPr>
      <w:r>
        <w:rPr>
          <w:rFonts w:hint="eastAsia"/>
        </w:rPr>
        <w:t>GB 18597  危险废弃物贮存污染控制标准</w:t>
      </w:r>
    </w:p>
    <w:p w14:paraId="73CD05BB">
      <w:pPr>
        <w:pStyle w:val="56"/>
        <w:ind w:firstLine="420"/>
      </w:pPr>
      <w:r>
        <w:rPr>
          <w:rFonts w:hint="eastAsia"/>
        </w:rPr>
        <w:t>GB 18599  一般工业固体废弃物贮存、处置场污染控制标准</w:t>
      </w:r>
    </w:p>
    <w:p w14:paraId="374F4D89">
      <w:pPr>
        <w:pStyle w:val="56"/>
        <w:ind w:firstLine="420"/>
        <w:rPr>
          <w:rFonts w:hint="eastAsia"/>
        </w:rPr>
      </w:pPr>
      <w:r>
        <w:rPr>
          <w:rFonts w:hint="eastAsia"/>
        </w:rPr>
        <w:t>GB 22128  报废机动车回收拆解企业技术规范</w:t>
      </w:r>
    </w:p>
    <w:p w14:paraId="0E7591B4">
      <w:pPr>
        <w:pStyle w:val="56"/>
        <w:ind w:firstLine="420"/>
        <w:rPr>
          <w:rFonts w:hint="default" w:eastAsia="宋体"/>
          <w:color w:val="FF0000"/>
          <w:lang w:val="en-US" w:eastAsia="zh-CN"/>
        </w:rPr>
      </w:pPr>
      <w:r>
        <w:rPr>
          <w:rFonts w:hint="eastAsia"/>
          <w:color w:val="000000" w:themeColor="text1"/>
          <w:lang w:val="en-US" w:eastAsia="zh-CN"/>
          <w14:textFill>
            <w14:solidFill>
              <w14:schemeClr w14:val="tx1"/>
            </w14:solidFill>
          </w14:textFill>
        </w:rPr>
        <w:t>GB 50016</w:t>
      </w:r>
      <w:r>
        <w:rPr>
          <w:rFonts w:hint="eastAsia"/>
          <w:color w:val="FF0000"/>
          <w:lang w:val="en-US" w:eastAsia="zh-CN"/>
        </w:rPr>
        <w:t xml:space="preserve">  </w:t>
      </w:r>
      <w:r>
        <w:rPr>
          <w:rFonts w:hint="eastAsia"/>
          <w:color w:val="000000" w:themeColor="text1"/>
          <w:lang w:val="en-US" w:eastAsia="zh-CN"/>
          <w14:textFill>
            <w14:solidFill>
              <w14:schemeClr w14:val="tx1"/>
            </w14:solidFill>
          </w14:textFill>
        </w:rPr>
        <w:t>建筑设计防火规范</w:t>
      </w:r>
    </w:p>
    <w:p w14:paraId="4F43BDD5">
      <w:pPr>
        <w:pStyle w:val="56"/>
        <w:ind w:firstLine="420"/>
      </w:pPr>
      <w:r>
        <w:rPr>
          <w:rFonts w:hint="eastAsia"/>
        </w:rPr>
        <w:t>GB/T 20271  信息安全技术 信息系统通用安全技术要求</w:t>
      </w:r>
    </w:p>
    <w:p w14:paraId="661CFF69">
      <w:pPr>
        <w:pStyle w:val="56"/>
        <w:ind w:firstLine="420"/>
        <w:rPr>
          <w:color w:val="auto"/>
        </w:rPr>
      </w:pPr>
      <w:r>
        <w:rPr>
          <w:rFonts w:hint="eastAsia"/>
          <w:color w:val="auto"/>
        </w:rPr>
        <w:t>GB/T 22239  信息系统安全等级保护基本要求</w:t>
      </w:r>
    </w:p>
    <w:p w14:paraId="3E0D7E17">
      <w:pPr>
        <w:pStyle w:val="56"/>
        <w:ind w:firstLine="420"/>
        <w:rPr>
          <w:rFonts w:hint="default" w:eastAsia="宋体"/>
          <w:lang w:val="en-US" w:eastAsia="zh-CN"/>
        </w:rPr>
      </w:pPr>
      <w:r>
        <w:rPr>
          <w:rFonts w:hint="eastAsia"/>
        </w:rPr>
        <w:t>GB/T 33000  企业安全生产标准化 基本规范</w:t>
      </w:r>
    </w:p>
    <w:p w14:paraId="1AA02276">
      <w:pPr>
        <w:pStyle w:val="56"/>
        <w:ind w:firstLine="420"/>
      </w:pPr>
      <w:r>
        <w:rPr>
          <w:rFonts w:hint="eastAsia"/>
        </w:rPr>
        <w:t>NY/T 1138.1-2016  农业机械维修业开业技术条件 第1部分：农业机械综合维修点</w:t>
      </w:r>
    </w:p>
    <w:p w14:paraId="4F769327">
      <w:pPr>
        <w:pStyle w:val="56"/>
        <w:ind w:firstLine="420"/>
      </w:pPr>
      <w:r>
        <w:rPr>
          <w:rFonts w:hint="eastAsia"/>
        </w:rPr>
        <w:t>NY/T 2900-2022  报废农业机械回收拆解技术规范</w:t>
      </w:r>
    </w:p>
    <w:p w14:paraId="431A53FB">
      <w:pPr>
        <w:pStyle w:val="56"/>
        <w:ind w:firstLine="420"/>
      </w:pPr>
      <w:r>
        <w:rPr>
          <w:rFonts w:hint="eastAsia"/>
        </w:rPr>
        <w:t>SB/T 11229-2021  互联网旧货交易平台建设和管理规范</w:t>
      </w:r>
    </w:p>
    <w:p w14:paraId="6091A7EA">
      <w:pPr>
        <w:pStyle w:val="104"/>
        <w:spacing w:before="312" w:after="312"/>
      </w:pPr>
      <w:bookmarkStart w:id="40" w:name="_Toc97190720"/>
      <w:r>
        <w:rPr>
          <w:rFonts w:hint="eastAsia"/>
          <w:szCs w:val="21"/>
        </w:rPr>
        <w:t>术语和定义</w:t>
      </w:r>
      <w:bookmarkEnd w:id="40"/>
    </w:p>
    <w:sdt>
      <w:sdtPr>
        <w:id w:val="-1909835108"/>
        <w:placeholder>
          <w:docPart w:val="BDE615064EFD473C9CFE3D2A4DF59774"/>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49BC45A1">
          <w:pPr>
            <w:pStyle w:val="56"/>
            <w:ind w:firstLine="420"/>
          </w:pPr>
          <w:bookmarkStart w:id="41" w:name="_Toc26986532"/>
          <w:bookmarkEnd w:id="41"/>
          <w:r>
            <w:t>下列术语和定义适用于本文件。</w:t>
          </w:r>
        </w:p>
      </w:sdtContent>
    </w:sdt>
    <w:p w14:paraId="2EBBA830">
      <w:pPr>
        <w:pStyle w:val="223"/>
        <w:ind w:left="420" w:hanging="420" w:hangingChars="200"/>
        <w:rPr>
          <w:rFonts w:ascii="黑体" w:hAnsi="黑体" w:eastAsia="黑体"/>
        </w:rPr>
      </w:pPr>
      <w:r>
        <w:rPr>
          <w:rFonts w:ascii="黑体" w:hAnsi="黑体" w:eastAsia="黑体"/>
        </w:rPr>
        <w:br w:type="textWrapping"/>
      </w:r>
      <w:r>
        <w:rPr>
          <w:rFonts w:hint="eastAsia" w:ascii="黑体" w:hAnsi="黑体" w:eastAsia="黑体"/>
        </w:rPr>
        <w:t>废旧农业机械  waste agricultural machinery</w:t>
      </w:r>
    </w:p>
    <w:p w14:paraId="4FC6F0BB">
      <w:pPr>
        <w:pStyle w:val="56"/>
        <w:ind w:firstLine="420"/>
      </w:pPr>
      <w:r>
        <w:rPr>
          <w:rFonts w:hint="eastAsia"/>
        </w:rPr>
        <w:t>符合国家标准、行业标准规定的报废条件和农机所有者自愿报废的农业机械。</w:t>
      </w:r>
    </w:p>
    <w:p w14:paraId="3232304E">
      <w:pPr>
        <w:pStyle w:val="56"/>
        <w:ind w:firstLine="420"/>
      </w:pPr>
      <w:r>
        <w:rPr>
          <w:rFonts w:hint="eastAsia"/>
        </w:rPr>
        <w:t>注：“废旧农业机械”也称为“报废农业机械”。</w:t>
      </w:r>
    </w:p>
    <w:p w14:paraId="0420F77A">
      <w:pPr>
        <w:pStyle w:val="223"/>
        <w:ind w:left="420" w:hanging="420" w:hangingChars="200"/>
        <w:rPr>
          <w:rFonts w:ascii="黑体" w:hAnsi="黑体" w:eastAsia="黑体"/>
        </w:rPr>
      </w:pPr>
      <w:r>
        <w:rPr>
          <w:rFonts w:ascii="黑体" w:hAnsi="黑体" w:eastAsia="黑体"/>
        </w:rPr>
        <w:br w:type="textWrapping"/>
      </w:r>
      <w:r>
        <w:rPr>
          <w:rFonts w:hint="eastAsia" w:ascii="黑体" w:hAnsi="黑体" w:eastAsia="黑体"/>
        </w:rPr>
        <w:t>回收网点  take-back network</w:t>
      </w:r>
    </w:p>
    <w:p w14:paraId="17EE0B3C">
      <w:pPr>
        <w:pStyle w:val="56"/>
        <w:ind w:firstLine="420"/>
      </w:pPr>
      <w:r>
        <w:rPr>
          <w:rFonts w:hint="eastAsia"/>
        </w:rPr>
        <w:t>报废农业机械接收或收购、登记、分类、储存等过程中放置报废农业机械的固定场所。</w:t>
      </w:r>
    </w:p>
    <w:p w14:paraId="5742DAE6">
      <w:pPr>
        <w:pStyle w:val="179"/>
      </w:pPr>
      <w:r>
        <w:rPr>
          <w:rFonts w:hint="eastAsia"/>
        </w:rPr>
        <w:t>根据规模、设施设备、储存时间、管理要求等,分为收集型、集中储存型等不同类型的回收网点。</w:t>
      </w:r>
    </w:p>
    <w:p w14:paraId="541459E9">
      <w:pPr>
        <w:pStyle w:val="223"/>
        <w:ind w:left="420" w:hanging="420" w:hangingChars="200"/>
        <w:rPr>
          <w:rFonts w:ascii="黑体" w:hAnsi="黑体" w:eastAsia="黑体"/>
        </w:rPr>
      </w:pPr>
      <w:r>
        <w:rPr>
          <w:rFonts w:ascii="黑体" w:hAnsi="黑体" w:eastAsia="黑体"/>
        </w:rPr>
        <w:br w:type="textWrapping"/>
      </w:r>
      <w:r>
        <w:rPr>
          <w:rFonts w:hint="eastAsia" w:ascii="黑体" w:hAnsi="黑体" w:eastAsia="黑体"/>
        </w:rPr>
        <w:t>拆解中心  dismantling center</w:t>
      </w:r>
    </w:p>
    <w:p w14:paraId="0AC2A8CD">
      <w:pPr>
        <w:pStyle w:val="56"/>
        <w:ind w:firstLine="420"/>
      </w:pPr>
      <w:r>
        <w:rPr>
          <w:rFonts w:hint="eastAsia"/>
        </w:rPr>
        <w:t>对废旧农业机械进行无害化处理，拆除总成和可再利用的零部件，对机体和结构件等进行拆分或压扁、破碎、清洗、储存、运输等活动的场所。</w:t>
      </w:r>
    </w:p>
    <w:p w14:paraId="46BA54D4">
      <w:pPr>
        <w:pStyle w:val="223"/>
        <w:ind w:left="420" w:hanging="420" w:hangingChars="200"/>
        <w:rPr>
          <w:rFonts w:ascii="黑体" w:hAnsi="黑体" w:eastAsia="黑体"/>
        </w:rPr>
      </w:pPr>
      <w:r>
        <w:rPr>
          <w:rFonts w:ascii="黑体" w:hAnsi="黑体" w:eastAsia="黑体"/>
        </w:rPr>
        <w:br w:type="textWrapping"/>
      </w:r>
      <w:r>
        <w:rPr>
          <w:rFonts w:hint="eastAsia" w:ascii="黑体" w:hAnsi="黑体" w:eastAsia="黑体"/>
          <w:color w:val="000000" w:themeColor="text1"/>
          <w14:textFill>
            <w14:solidFill>
              <w14:schemeClr w14:val="tx1"/>
            </w14:solidFill>
          </w14:textFill>
        </w:rPr>
        <w:t>信息化管理平台</w:t>
      </w:r>
      <w:r>
        <w:rPr>
          <w:rFonts w:hint="eastAsia" w:ascii="黑体" w:hAnsi="黑体" w:eastAsia="黑体"/>
        </w:rPr>
        <w:t xml:space="preserve">  Information management platform</w:t>
      </w:r>
    </w:p>
    <w:p w14:paraId="4EA3D2E8">
      <w:pPr>
        <w:pStyle w:val="56"/>
        <w:ind w:firstLine="420"/>
      </w:pPr>
      <w:r>
        <w:rPr>
          <w:rFonts w:hint="eastAsia"/>
        </w:rPr>
        <w:t>利用现代信息技术手段，为报废农业机械回收、拆解等行业提供全面的数据采集、处理、存储、分析及共享服务的系统。</w:t>
      </w:r>
    </w:p>
    <w:p w14:paraId="28743ED8">
      <w:pPr>
        <w:pStyle w:val="104"/>
        <w:spacing w:before="312" w:after="312"/>
      </w:pPr>
      <w:r>
        <w:t>废旧农业机械回收体系</w:t>
      </w:r>
      <w:r>
        <w:rPr>
          <w:rFonts w:hint="eastAsia"/>
        </w:rPr>
        <w:t>构成</w:t>
      </w:r>
    </w:p>
    <w:p w14:paraId="68E13202">
      <w:pPr>
        <w:pStyle w:val="162"/>
      </w:pPr>
      <w:r>
        <w:t>废旧</w:t>
      </w:r>
      <w:r>
        <w:rPr>
          <w:rFonts w:hint="eastAsia"/>
        </w:rPr>
        <w:t>农业机械回收体系由回收网点、拆解中心和信息化管理平台三部分构成，</w:t>
      </w:r>
      <w:r>
        <w:t>废旧</w:t>
      </w:r>
      <w:r>
        <w:rPr>
          <w:rFonts w:hint="eastAsia"/>
        </w:rPr>
        <w:t>农业机械回收体系框架</w:t>
      </w:r>
      <w:r>
        <w:t>见</w:t>
      </w:r>
      <w:r>
        <w:rPr>
          <w:color w:val="000000" w:themeColor="text1"/>
          <w14:textFill>
            <w14:solidFill>
              <w14:schemeClr w14:val="tx1"/>
            </w14:solidFill>
          </w14:textFill>
        </w:rPr>
        <w:t>图1</w:t>
      </w:r>
      <w:r>
        <w:rPr>
          <w:rFonts w:hint="eastAsia"/>
          <w:color w:val="000000" w:themeColor="text1"/>
          <w14:textFill>
            <w14:solidFill>
              <w14:schemeClr w14:val="tx1"/>
            </w14:solidFill>
          </w14:textFill>
        </w:rPr>
        <w:t>。</w:t>
      </w:r>
    </w:p>
    <w:p w14:paraId="47F50C76">
      <w:pPr>
        <w:pStyle w:val="162"/>
      </w:pPr>
      <w:r>
        <w:rPr>
          <w:rFonts w:hint="eastAsia"/>
        </w:rPr>
        <w:t>回收网点包括收集型回收网点和集中储存型回收网点。收集型回收网点可暂时储存报废农业机械。集中储存型回收网点</w:t>
      </w:r>
      <w:r>
        <w:t>可长期</w:t>
      </w:r>
      <w:r>
        <w:rPr>
          <w:rFonts w:hint="eastAsia"/>
        </w:rPr>
        <w:t>储存报废农业机械。</w:t>
      </w:r>
    </w:p>
    <w:p w14:paraId="026395ED">
      <w:pPr>
        <w:pStyle w:val="162"/>
      </w:pPr>
      <w:r>
        <w:rPr>
          <w:rFonts w:hint="eastAsia"/>
        </w:rPr>
        <w:t>拆解中心包括具有相关资质的报废农业机械回收拆解企业、报废机动车回收拆解企业、符合NY/T 1138.1-2016中要求的二级以上农机维修企业等。</w:t>
      </w:r>
    </w:p>
    <w:p w14:paraId="2FE5D0CA">
      <w:pPr>
        <w:pStyle w:val="162"/>
        <w:numPr>
          <w:ilvl w:val="2"/>
          <w:numId w:val="0"/>
        </w:numPr>
        <w:jc w:val="center"/>
        <w:rPr>
          <w:rFonts w:ascii="宋体" w:hAnsi="Times New Roman"/>
          <w:color w:val="FF0000"/>
          <w:kern w:val="0"/>
          <w:szCs w:val="20"/>
        </w:rPr>
      </w:pPr>
      <w:r>
        <w:drawing>
          <wp:inline distT="0" distB="0" distL="114300" distR="114300">
            <wp:extent cx="2366010" cy="2221865"/>
            <wp:effectExtent l="0" t="0" r="8890" b="6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5"/>
                    <a:stretch>
                      <a:fillRect/>
                    </a:stretch>
                  </pic:blipFill>
                  <pic:spPr>
                    <a:xfrm>
                      <a:off x="0" y="0"/>
                      <a:ext cx="2366010" cy="2221865"/>
                    </a:xfrm>
                    <a:prstGeom prst="rect">
                      <a:avLst/>
                    </a:prstGeom>
                    <a:noFill/>
                    <a:ln>
                      <a:noFill/>
                    </a:ln>
                  </pic:spPr>
                </pic:pic>
              </a:graphicData>
            </a:graphic>
          </wp:inline>
        </w:drawing>
      </w:r>
      <w:bookmarkStart w:id="45" w:name="_GoBack"/>
      <w:bookmarkEnd w:id="45"/>
    </w:p>
    <w:p w14:paraId="7AAC231C">
      <w:pPr>
        <w:pStyle w:val="114"/>
        <w:spacing w:before="156" w:after="156"/>
        <w:rPr>
          <w:color w:val="000000" w:themeColor="text1"/>
          <w14:textFill>
            <w14:solidFill>
              <w14:schemeClr w14:val="tx1"/>
            </w14:solidFill>
          </w14:textFill>
        </w:rPr>
      </w:pPr>
      <w:r>
        <w:rPr>
          <w:rFonts w:hint="eastAsia"/>
          <w:color w:val="000000" w:themeColor="text1"/>
          <w14:textFill>
            <w14:solidFill>
              <w14:schemeClr w14:val="tx1"/>
            </w14:solidFill>
          </w14:textFill>
        </w:rPr>
        <w:t>废旧农业机械</w:t>
      </w:r>
      <w:r>
        <w:rPr>
          <w:color w:val="000000" w:themeColor="text1"/>
          <w14:textFill>
            <w14:solidFill>
              <w14:schemeClr w14:val="tx1"/>
            </w14:solidFill>
          </w14:textFill>
        </w:rPr>
        <w:t>回收体系框架</w:t>
      </w:r>
    </w:p>
    <w:p w14:paraId="5701083A">
      <w:pPr>
        <w:pStyle w:val="104"/>
        <w:spacing w:before="312" w:after="312"/>
      </w:pPr>
      <w:r>
        <w:rPr>
          <w:rFonts w:hint="eastAsia"/>
        </w:rPr>
        <w:t>废旧农业机械回收体系建设要求</w:t>
      </w:r>
    </w:p>
    <w:p w14:paraId="28CAF0C2">
      <w:pPr>
        <w:pStyle w:val="105"/>
        <w:spacing w:before="156" w:after="156"/>
      </w:pPr>
      <w:r>
        <w:rPr>
          <w:rFonts w:hint="eastAsia"/>
        </w:rPr>
        <w:t>回收网点</w:t>
      </w:r>
    </w:p>
    <w:p w14:paraId="45A3CE74">
      <w:pPr>
        <w:pStyle w:val="65"/>
        <w:spacing w:before="156" w:after="156"/>
        <w:rPr>
          <w:color w:val="000000" w:themeColor="text1"/>
          <w14:textFill>
            <w14:solidFill>
              <w14:schemeClr w14:val="tx1"/>
            </w14:solidFill>
          </w14:textFill>
        </w:rPr>
      </w:pPr>
      <w:r>
        <w:rPr>
          <w:rFonts w:hint="eastAsia"/>
          <w:color w:val="000000" w:themeColor="text1"/>
          <w14:textFill>
            <w14:solidFill>
              <w14:schemeClr w14:val="tx1"/>
            </w14:solidFill>
          </w14:textFill>
        </w:rPr>
        <w:t>设置原则</w:t>
      </w:r>
    </w:p>
    <w:p w14:paraId="2DB60720">
      <w:pPr>
        <w:pStyle w:val="164"/>
      </w:pPr>
      <w:r>
        <w:rPr>
          <w:rFonts w:hint="eastAsia"/>
        </w:rPr>
        <w:t>应根据服务区域和报废农业机械的产生量等实际情况</w:t>
      </w:r>
      <w:r>
        <w:rPr>
          <w:rFonts w:hint="eastAsia"/>
          <w:color w:val="auto"/>
        </w:rPr>
        <w:t>统筹规划</w:t>
      </w:r>
      <w:r>
        <w:rPr>
          <w:rFonts w:hint="eastAsia"/>
        </w:rPr>
        <w:t>，因地制宜设置回收网点。</w:t>
      </w:r>
    </w:p>
    <w:p w14:paraId="21693035">
      <w:pPr>
        <w:pStyle w:val="179"/>
      </w:pPr>
      <w:r>
        <w:rPr>
          <w:rFonts w:hint="eastAsia"/>
        </w:rPr>
        <w:t>回收网点</w:t>
      </w:r>
      <w:r>
        <w:rPr>
          <w:rFonts w:hint="eastAsia"/>
          <w:color w:val="auto"/>
        </w:rPr>
        <w:t>可以是</w:t>
      </w:r>
      <w:r>
        <w:rPr>
          <w:rFonts w:hint="eastAsia"/>
        </w:rPr>
        <w:t>维修服务网点、农机服务经营组织、拆解中心等，其经营范围应包含报废农业机械回收业务。</w:t>
      </w:r>
    </w:p>
    <w:p w14:paraId="2BD7265B">
      <w:pPr>
        <w:pStyle w:val="164"/>
      </w:pPr>
      <w:r>
        <w:rPr>
          <w:rFonts w:hint="eastAsia"/>
        </w:rPr>
        <w:t>收集型回收网点可参考以下指标：</w:t>
      </w:r>
    </w:p>
    <w:p w14:paraId="0E50F92B">
      <w:pPr>
        <w:pStyle w:val="56"/>
        <w:ind w:firstLine="420"/>
      </w:pPr>
      <w:r>
        <w:rPr>
          <w:rFonts w:hint="eastAsia"/>
        </w:rPr>
        <w:t>a)</w:t>
      </w:r>
      <w:r>
        <w:rPr>
          <w:rFonts w:hint="eastAsia"/>
          <w:color w:val="000000" w:themeColor="text1"/>
          <w14:textFill>
            <w14:solidFill>
              <w14:schemeClr w14:val="tx1"/>
            </w14:solidFill>
          </w14:textFill>
        </w:rPr>
        <w:tab/>
      </w:r>
      <w:r>
        <w:rPr>
          <w:rFonts w:hint="eastAsia"/>
          <w:color w:val="000000" w:themeColor="text1"/>
          <w14:textFill>
            <w14:solidFill>
              <w14:schemeClr w14:val="tx1"/>
            </w14:solidFill>
          </w14:textFill>
        </w:rPr>
        <w:t>按相应区域农业机械保有量设置；</w:t>
      </w:r>
    </w:p>
    <w:p w14:paraId="4E47EFFA">
      <w:pPr>
        <w:pStyle w:val="56"/>
        <w:ind w:firstLine="420"/>
      </w:pPr>
      <w:r>
        <w:rPr>
          <w:rFonts w:hint="eastAsia"/>
        </w:rPr>
        <w:t>b)</w:t>
      </w:r>
      <w:r>
        <w:rPr>
          <w:rFonts w:hint="eastAsia"/>
        </w:rPr>
        <w:tab/>
      </w:r>
      <w:r>
        <w:rPr>
          <w:rFonts w:hint="eastAsia"/>
        </w:rPr>
        <w:t>按村、乡（镇）设置，服务半径宜不超过10 km。</w:t>
      </w:r>
    </w:p>
    <w:p w14:paraId="64FD4A44">
      <w:pPr>
        <w:pStyle w:val="164"/>
      </w:pPr>
      <w:r>
        <w:rPr>
          <w:rFonts w:hint="eastAsia"/>
        </w:rPr>
        <w:t>集中储存型回收网点可参考以下指标：</w:t>
      </w:r>
    </w:p>
    <w:p w14:paraId="6C291E38">
      <w:pPr>
        <w:pStyle w:val="56"/>
        <w:ind w:firstLine="420"/>
      </w:pPr>
      <w:r>
        <w:rPr>
          <w:rFonts w:hint="eastAsia"/>
        </w:rPr>
        <w:t>a)</w:t>
      </w:r>
      <w:r>
        <w:rPr>
          <w:rFonts w:hint="eastAsia"/>
        </w:rPr>
        <w:tab/>
      </w:r>
      <w:r>
        <w:rPr>
          <w:rFonts w:hint="eastAsia"/>
          <w:color w:val="000000" w:themeColor="text1"/>
          <w14:textFill>
            <w14:solidFill>
              <w14:schemeClr w14:val="tx1"/>
            </w14:solidFill>
          </w14:textFill>
        </w:rPr>
        <w:t>按相应区域农业机械保有量设置；</w:t>
      </w:r>
    </w:p>
    <w:p w14:paraId="29995C51">
      <w:pPr>
        <w:pStyle w:val="56"/>
        <w:ind w:firstLine="420"/>
      </w:pPr>
      <w:r>
        <w:rPr>
          <w:rFonts w:hint="eastAsia"/>
        </w:rPr>
        <w:t>b)</w:t>
      </w:r>
      <w:r>
        <w:rPr>
          <w:rFonts w:hint="eastAsia"/>
        </w:rPr>
        <w:tab/>
      </w:r>
      <w:r>
        <w:rPr>
          <w:rFonts w:hint="eastAsia"/>
        </w:rPr>
        <w:t>按乡（镇）设置，服务半径宜不低于10 km。</w:t>
      </w:r>
    </w:p>
    <w:p w14:paraId="01B1092D">
      <w:pPr>
        <w:pStyle w:val="65"/>
        <w:spacing w:before="156" w:after="156"/>
      </w:pPr>
      <w:r>
        <w:rPr>
          <w:rFonts w:hint="eastAsia"/>
        </w:rPr>
        <w:t>安全要求</w:t>
      </w:r>
    </w:p>
    <w:p w14:paraId="59654408">
      <w:pPr>
        <w:pStyle w:val="164"/>
      </w:pPr>
      <w:r>
        <w:rPr>
          <w:rFonts w:hint="eastAsia"/>
        </w:rPr>
        <w:t>应具有</w:t>
      </w:r>
      <w:r>
        <w:rPr>
          <w:rFonts w:hint="eastAsia"/>
          <w:color w:val="auto"/>
        </w:rPr>
        <w:t>与服务内容相适应</w:t>
      </w:r>
      <w:r>
        <w:rPr>
          <w:rFonts w:hint="eastAsia"/>
          <w:color w:val="auto"/>
          <w:lang w:val="en-US" w:eastAsia="zh-CN"/>
        </w:rPr>
        <w:t>和必要数量</w:t>
      </w:r>
      <w:r>
        <w:rPr>
          <w:rFonts w:hint="eastAsia"/>
          <w:color w:val="auto"/>
        </w:rPr>
        <w:t>的消防</w:t>
      </w:r>
      <w:r>
        <w:rPr>
          <w:rFonts w:hint="eastAsia"/>
        </w:rPr>
        <w:t>器材。</w:t>
      </w:r>
    </w:p>
    <w:p w14:paraId="267D087D">
      <w:pPr>
        <w:pStyle w:val="164"/>
      </w:pPr>
      <w:r>
        <w:rPr>
          <w:rFonts w:hint="eastAsia"/>
        </w:rPr>
        <w:t>应符合</w:t>
      </w:r>
      <w:r>
        <w:rPr>
          <w:rFonts w:hint="eastAsia"/>
          <w:color w:val="000000" w:themeColor="text1"/>
          <w14:textFill>
            <w14:solidFill>
              <w14:schemeClr w14:val="tx1"/>
            </w14:solidFill>
          </w14:textFill>
        </w:rPr>
        <w:t>GB 50016规定</w:t>
      </w:r>
      <w:r>
        <w:rPr>
          <w:rFonts w:hint="eastAsia"/>
        </w:rPr>
        <w:t>的安全要求。</w:t>
      </w:r>
    </w:p>
    <w:p w14:paraId="20766B1C">
      <w:pPr>
        <w:pStyle w:val="65"/>
        <w:spacing w:before="156" w:after="156"/>
      </w:pPr>
      <w:r>
        <w:rPr>
          <w:rFonts w:hint="eastAsia"/>
        </w:rPr>
        <w:t>环保要求</w:t>
      </w:r>
    </w:p>
    <w:p w14:paraId="11DD2795">
      <w:pPr>
        <w:pStyle w:val="164"/>
      </w:pPr>
      <w:r>
        <w:rPr>
          <w:rFonts w:hint="eastAsia"/>
        </w:rPr>
        <w:t>应符合GB 18597规定的环保要求。</w:t>
      </w:r>
    </w:p>
    <w:p w14:paraId="24383EC3">
      <w:pPr>
        <w:pStyle w:val="164"/>
      </w:pPr>
      <w:r>
        <w:rPr>
          <w:rFonts w:hint="eastAsia"/>
        </w:rPr>
        <w:t>集中储存型回收网点宜具有环保管理制度，具备废液、废物等收集及储存能力。</w:t>
      </w:r>
    </w:p>
    <w:p w14:paraId="0E3E1CF4">
      <w:pPr>
        <w:pStyle w:val="65"/>
        <w:spacing w:before="156" w:after="156"/>
      </w:pPr>
      <w:r>
        <w:rPr>
          <w:rFonts w:hint="eastAsia"/>
        </w:rPr>
        <w:t>场地要求</w:t>
      </w:r>
    </w:p>
    <w:p w14:paraId="150E1A31">
      <w:pPr>
        <w:pStyle w:val="164"/>
      </w:pPr>
      <w:r>
        <w:rPr>
          <w:rFonts w:hint="eastAsia"/>
        </w:rPr>
        <w:t>收集型回收网点的办公区面积宜不低于30 m</w:t>
      </w:r>
      <w:r>
        <w:rPr>
          <w:rFonts w:hint="eastAsia"/>
          <w:vertAlign w:val="superscript"/>
        </w:rPr>
        <w:t>2</w:t>
      </w:r>
      <w:r>
        <w:rPr>
          <w:rFonts w:hint="eastAsia"/>
        </w:rPr>
        <w:t>，暂存面积宜不低于50 m</w:t>
      </w:r>
      <w:r>
        <w:rPr>
          <w:rFonts w:hint="eastAsia"/>
          <w:vertAlign w:val="superscript"/>
        </w:rPr>
        <w:t>2</w:t>
      </w:r>
      <w:r>
        <w:rPr>
          <w:rFonts w:hint="eastAsia"/>
        </w:rPr>
        <w:t>。</w:t>
      </w:r>
    </w:p>
    <w:p w14:paraId="5334EEEB">
      <w:pPr>
        <w:pStyle w:val="164"/>
      </w:pPr>
      <w:r>
        <w:rPr>
          <w:rFonts w:hint="eastAsia"/>
        </w:rPr>
        <w:t>集中储存型回收网点的办公区面积宜不低于30 m</w:t>
      </w:r>
      <w:r>
        <w:rPr>
          <w:rFonts w:hint="eastAsia"/>
          <w:vertAlign w:val="superscript"/>
        </w:rPr>
        <w:t>2</w:t>
      </w:r>
      <w:r>
        <w:rPr>
          <w:rFonts w:hint="eastAsia"/>
        </w:rPr>
        <w:t>，储存面积宜不低于150 m</w:t>
      </w:r>
      <w:r>
        <w:rPr>
          <w:rFonts w:hint="eastAsia"/>
          <w:vertAlign w:val="superscript"/>
        </w:rPr>
        <w:t>2</w:t>
      </w:r>
      <w:r>
        <w:rPr>
          <w:rFonts w:hint="eastAsia"/>
        </w:rPr>
        <w:t>。</w:t>
      </w:r>
    </w:p>
    <w:p w14:paraId="1430F9ED">
      <w:pPr>
        <w:pStyle w:val="164"/>
      </w:pPr>
      <w:r>
        <w:rPr>
          <w:rFonts w:hint="eastAsia"/>
        </w:rPr>
        <w:t>集中储存型回收网点储存区域地面应做防水、防渗漏处理，有特殊要求的地面应做防腐蚀处理，一般地面为混凝土地面。</w:t>
      </w:r>
    </w:p>
    <w:p w14:paraId="231D2BD4">
      <w:pPr>
        <w:pStyle w:val="164"/>
      </w:pPr>
      <w:r>
        <w:rPr>
          <w:rFonts w:hint="eastAsia"/>
        </w:rPr>
        <w:t>集中储存型回收网点应设置有专门的储存电池场所。</w:t>
      </w:r>
    </w:p>
    <w:p w14:paraId="330322F0">
      <w:pPr>
        <w:pStyle w:val="65"/>
        <w:spacing w:before="156" w:after="156"/>
      </w:pPr>
      <w:r>
        <w:rPr>
          <w:rFonts w:hint="eastAsia"/>
        </w:rPr>
        <w:t>设备要求</w:t>
      </w:r>
    </w:p>
    <w:p w14:paraId="615D4068">
      <w:pPr>
        <w:pStyle w:val="164"/>
      </w:pPr>
      <w:r>
        <w:rPr>
          <w:rFonts w:hint="eastAsia"/>
        </w:rPr>
        <w:t>收集型回收网点应具备的设备包括但不限于电脑、打印机、拍照设备。</w:t>
      </w:r>
    </w:p>
    <w:p w14:paraId="3B95A2B0">
      <w:pPr>
        <w:pStyle w:val="164"/>
      </w:pPr>
      <w:r>
        <w:rPr>
          <w:rFonts w:hint="eastAsia"/>
        </w:rPr>
        <w:t>集中储存型回收网点应具备的设备包括但不限于电脑、打印机、拍照设备、监控系统、地磅、叉车、防渗漏</w:t>
      </w:r>
      <w:r>
        <w:rPr>
          <w:rFonts w:hint="eastAsia"/>
          <w:lang w:val="en-US" w:eastAsia="zh-CN"/>
        </w:rPr>
        <w:t>装置</w:t>
      </w:r>
      <w:r>
        <w:rPr>
          <w:rFonts w:hint="eastAsia"/>
        </w:rPr>
        <w:t>。</w:t>
      </w:r>
    </w:p>
    <w:p w14:paraId="161B9A96">
      <w:pPr>
        <w:pStyle w:val="65"/>
        <w:spacing w:before="156" w:after="156"/>
      </w:pPr>
      <w:r>
        <w:rPr>
          <w:rFonts w:hint="eastAsia"/>
        </w:rPr>
        <w:t>经营要求</w:t>
      </w:r>
    </w:p>
    <w:p w14:paraId="1755C8D0">
      <w:pPr>
        <w:pStyle w:val="164"/>
      </w:pPr>
      <w:r>
        <w:rPr>
          <w:rFonts w:hint="eastAsia"/>
        </w:rPr>
        <w:t>应在营业场所显著位置设置提示性信息，内容应包含“报废农业机械回收网点”等字样。</w:t>
      </w:r>
    </w:p>
    <w:p w14:paraId="133C6EE3">
      <w:pPr>
        <w:pStyle w:val="164"/>
      </w:pPr>
      <w:r>
        <w:rPr>
          <w:rFonts w:hint="eastAsia"/>
        </w:rPr>
        <w:t>应制定并明示工作流程和业务流程</w:t>
      </w:r>
      <w:r>
        <w:rPr>
          <w:rFonts w:hint="eastAsia"/>
          <w:color w:val="000000" w:themeColor="text1"/>
          <w14:textFill>
            <w14:solidFill>
              <w14:schemeClr w14:val="tx1"/>
            </w14:solidFill>
          </w14:textFill>
        </w:rPr>
        <w:t>。</w:t>
      </w:r>
    </w:p>
    <w:p w14:paraId="14FE5476">
      <w:pPr>
        <w:pStyle w:val="164"/>
      </w:pPr>
      <w:r>
        <w:rPr>
          <w:rFonts w:hint="eastAsia"/>
        </w:rPr>
        <w:t>回收网点应记录的信息包括但不限于机主姓名或单位名称、身份证号或统一社会信用代码、牌照号码(适用时)、品牌型号、机架号、发动机号（适用时）、出厂时间、接收或收购日期。</w:t>
      </w:r>
    </w:p>
    <w:p w14:paraId="62821BBC">
      <w:pPr>
        <w:pStyle w:val="164"/>
      </w:pPr>
      <w:r>
        <w:rPr>
          <w:rFonts w:hint="eastAsia"/>
        </w:rPr>
        <w:t>应建立电子档案、纸质档案和铭牌档案，纸质档案和铭牌档案保存期限应不少于3年，电子档案保存期限应不少于5年。</w:t>
      </w:r>
    </w:p>
    <w:p w14:paraId="2E6A1CB0">
      <w:pPr>
        <w:pStyle w:val="164"/>
      </w:pPr>
      <w:r>
        <w:rPr>
          <w:rFonts w:hint="eastAsia"/>
        </w:rPr>
        <w:t>从业人员宜接受职业道德教育和岗位知识、技能培训</w:t>
      </w:r>
      <w:r>
        <w:rPr>
          <w:rFonts w:hint="eastAsia"/>
          <w:lang w:eastAsia="zh-CN"/>
        </w:rPr>
        <w:t>，</w:t>
      </w:r>
      <w:r>
        <w:rPr>
          <w:rFonts w:hint="eastAsia"/>
        </w:rPr>
        <w:t>特种设备操作人员应取得相应资格后方可上岗。</w:t>
      </w:r>
    </w:p>
    <w:p w14:paraId="686F9DFD">
      <w:pPr>
        <w:pStyle w:val="105"/>
        <w:spacing w:before="156" w:after="156"/>
      </w:pPr>
      <w:r>
        <w:rPr>
          <w:rFonts w:hint="eastAsia"/>
        </w:rPr>
        <w:t>拆解中心</w:t>
      </w:r>
    </w:p>
    <w:p w14:paraId="7B95BB54">
      <w:pPr>
        <w:pStyle w:val="65"/>
        <w:spacing w:before="156" w:after="156"/>
        <w:rPr>
          <w:color w:val="auto"/>
          <w:highlight w:val="none"/>
        </w:rPr>
      </w:pPr>
      <w:r>
        <w:rPr>
          <w:rFonts w:hint="eastAsia"/>
          <w:color w:val="auto"/>
          <w:highlight w:val="none"/>
        </w:rPr>
        <w:t>设置要求</w:t>
      </w:r>
    </w:p>
    <w:p w14:paraId="1007E0DA">
      <w:pPr>
        <w:pStyle w:val="164"/>
        <w:rPr>
          <w:color w:val="auto"/>
          <w:highlight w:val="none"/>
        </w:rPr>
      </w:pPr>
      <w:r>
        <w:rPr>
          <w:rFonts w:hint="eastAsia"/>
          <w:color w:val="auto"/>
          <w:highlight w:val="none"/>
        </w:rPr>
        <w:t>拆解中心可分为Ⅰ档、Ⅱ档、Ⅲ档、Ⅳ档、Ⅴ档五个级别。各级别拆解中心的年拆解产能和经营面积要求见表1。</w:t>
      </w:r>
    </w:p>
    <w:p w14:paraId="0A32FC36">
      <w:pPr>
        <w:pStyle w:val="56"/>
        <w:ind w:firstLine="420"/>
        <w:rPr>
          <w:color w:val="auto"/>
          <w:highlight w:val="none"/>
        </w:rPr>
      </w:pPr>
    </w:p>
    <w:p w14:paraId="5A9B174D">
      <w:pPr>
        <w:pStyle w:val="56"/>
        <w:ind w:firstLine="420"/>
        <w:rPr>
          <w:color w:val="auto"/>
          <w:highlight w:val="none"/>
        </w:rPr>
      </w:pPr>
    </w:p>
    <w:p w14:paraId="29D728D7">
      <w:pPr>
        <w:pStyle w:val="56"/>
        <w:ind w:firstLine="420"/>
        <w:rPr>
          <w:color w:val="auto"/>
          <w:highlight w:val="none"/>
        </w:rPr>
      </w:pPr>
    </w:p>
    <w:p w14:paraId="5FA30B6A">
      <w:pPr>
        <w:pStyle w:val="112"/>
        <w:spacing w:before="156" w:after="156"/>
        <w:rPr>
          <w:color w:val="auto"/>
          <w:highlight w:val="none"/>
        </w:rPr>
      </w:pPr>
      <w:r>
        <w:rPr>
          <w:rFonts w:hint="eastAsia"/>
          <w:color w:val="auto"/>
          <w:highlight w:val="none"/>
        </w:rPr>
        <w:t>拆解中心年拆解产能和经营面积</w:t>
      </w:r>
    </w:p>
    <w:tbl>
      <w:tblPr>
        <w:tblStyle w:val="229"/>
        <w:tblW w:w="7013"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988"/>
        <w:gridCol w:w="2687"/>
        <w:gridCol w:w="2338"/>
      </w:tblGrid>
      <w:tr w14:paraId="37902A3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988" w:type="dxa"/>
            <w:tcBorders>
              <w:top w:val="single" w:color="auto" w:sz="8" w:space="0"/>
              <w:bottom w:val="single" w:color="auto" w:sz="8" w:space="0"/>
            </w:tcBorders>
            <w:shd w:val="clear" w:color="auto" w:fill="auto"/>
            <w:vAlign w:val="center"/>
          </w:tcPr>
          <w:p w14:paraId="6025B622">
            <w:pPr>
              <w:pStyle w:val="178"/>
              <w:rPr>
                <w:color w:val="auto"/>
                <w:highlight w:val="none"/>
              </w:rPr>
            </w:pPr>
            <w:r>
              <w:rPr>
                <w:rFonts w:hint="eastAsia"/>
                <w:color w:val="auto"/>
                <w:highlight w:val="none"/>
              </w:rPr>
              <w:t>拆解中心类型</w:t>
            </w:r>
          </w:p>
        </w:tc>
        <w:tc>
          <w:tcPr>
            <w:tcW w:w="2687" w:type="dxa"/>
            <w:tcBorders>
              <w:top w:val="single" w:color="auto" w:sz="8" w:space="0"/>
              <w:bottom w:val="single" w:color="auto" w:sz="8" w:space="0"/>
            </w:tcBorders>
            <w:shd w:val="clear" w:color="auto" w:fill="auto"/>
            <w:vAlign w:val="center"/>
          </w:tcPr>
          <w:p w14:paraId="2D796504">
            <w:pPr>
              <w:pStyle w:val="178"/>
              <w:rPr>
                <w:color w:val="auto"/>
                <w:highlight w:val="none"/>
              </w:rPr>
            </w:pPr>
            <w:r>
              <w:rPr>
                <w:rFonts w:hint="eastAsia"/>
                <w:color w:val="auto"/>
                <w:highlight w:val="none"/>
              </w:rPr>
              <w:t>拆解中心年拆解产能/台套</w:t>
            </w:r>
          </w:p>
        </w:tc>
        <w:tc>
          <w:tcPr>
            <w:tcW w:w="2338" w:type="dxa"/>
            <w:tcBorders>
              <w:top w:val="single" w:color="auto" w:sz="8" w:space="0"/>
              <w:bottom w:val="single" w:color="auto" w:sz="8" w:space="0"/>
            </w:tcBorders>
            <w:shd w:val="clear" w:color="auto" w:fill="auto"/>
            <w:vAlign w:val="center"/>
          </w:tcPr>
          <w:p w14:paraId="2E483038">
            <w:pPr>
              <w:pStyle w:val="178"/>
              <w:rPr>
                <w:color w:val="auto"/>
                <w:highlight w:val="none"/>
              </w:rPr>
            </w:pPr>
            <w:r>
              <w:rPr>
                <w:rFonts w:hint="eastAsia"/>
                <w:color w:val="auto"/>
                <w:highlight w:val="none"/>
              </w:rPr>
              <w:t>经营面积/m2</w:t>
            </w:r>
          </w:p>
        </w:tc>
      </w:tr>
      <w:tr w14:paraId="0CF16C2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988" w:type="dxa"/>
            <w:tcBorders>
              <w:top w:val="single" w:color="auto" w:sz="8" w:space="0"/>
            </w:tcBorders>
            <w:shd w:val="clear" w:color="auto" w:fill="auto"/>
          </w:tcPr>
          <w:p w14:paraId="0A969361">
            <w:pPr>
              <w:pStyle w:val="178"/>
              <w:rPr>
                <w:color w:val="auto"/>
                <w:highlight w:val="none"/>
              </w:rPr>
            </w:pPr>
            <w:r>
              <w:rPr>
                <w:rFonts w:hint="eastAsia"/>
                <w:color w:val="auto"/>
                <w:highlight w:val="none"/>
              </w:rPr>
              <w:t>Ⅰ档</w:t>
            </w:r>
          </w:p>
        </w:tc>
        <w:tc>
          <w:tcPr>
            <w:tcW w:w="2687" w:type="dxa"/>
            <w:tcBorders>
              <w:top w:val="single" w:color="auto" w:sz="8" w:space="0"/>
            </w:tcBorders>
            <w:shd w:val="clear" w:color="auto" w:fill="auto"/>
            <w:vAlign w:val="center"/>
          </w:tcPr>
          <w:p w14:paraId="51351F46">
            <w:pPr>
              <w:pStyle w:val="178"/>
              <w:rPr>
                <w:color w:val="auto"/>
                <w:highlight w:val="none"/>
              </w:rPr>
            </w:pPr>
            <w:r>
              <w:rPr>
                <w:rFonts w:hint="eastAsia"/>
                <w:color w:val="auto"/>
                <w:highlight w:val="none"/>
              </w:rPr>
              <w:t>≥5000</w:t>
            </w:r>
          </w:p>
        </w:tc>
        <w:tc>
          <w:tcPr>
            <w:tcW w:w="2338" w:type="dxa"/>
            <w:tcBorders>
              <w:top w:val="single" w:color="auto" w:sz="8" w:space="0"/>
            </w:tcBorders>
            <w:shd w:val="clear" w:color="auto" w:fill="auto"/>
            <w:vAlign w:val="center"/>
          </w:tcPr>
          <w:p w14:paraId="11B86491">
            <w:pPr>
              <w:pStyle w:val="178"/>
              <w:rPr>
                <w:color w:val="auto"/>
                <w:highlight w:val="none"/>
              </w:rPr>
            </w:pPr>
            <w:r>
              <w:rPr>
                <w:rFonts w:hint="eastAsia"/>
                <w:color w:val="auto"/>
                <w:highlight w:val="none"/>
              </w:rPr>
              <w:t>≥10000</w:t>
            </w:r>
          </w:p>
        </w:tc>
      </w:tr>
      <w:tr w14:paraId="35CEA18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988" w:type="dxa"/>
            <w:shd w:val="clear" w:color="auto" w:fill="auto"/>
          </w:tcPr>
          <w:p w14:paraId="4E4C06B3">
            <w:pPr>
              <w:pStyle w:val="178"/>
              <w:rPr>
                <w:color w:val="auto"/>
                <w:highlight w:val="none"/>
              </w:rPr>
            </w:pPr>
            <w:r>
              <w:rPr>
                <w:rFonts w:hint="eastAsia"/>
                <w:color w:val="auto"/>
                <w:highlight w:val="none"/>
              </w:rPr>
              <w:t>Ⅱ档</w:t>
            </w:r>
          </w:p>
        </w:tc>
        <w:tc>
          <w:tcPr>
            <w:tcW w:w="2687" w:type="dxa"/>
            <w:shd w:val="clear" w:color="auto" w:fill="auto"/>
            <w:vAlign w:val="center"/>
          </w:tcPr>
          <w:p w14:paraId="1AFC4585">
            <w:pPr>
              <w:pStyle w:val="178"/>
              <w:rPr>
                <w:color w:val="auto"/>
                <w:highlight w:val="none"/>
              </w:rPr>
            </w:pPr>
            <w:r>
              <w:rPr>
                <w:rFonts w:hint="eastAsia"/>
                <w:color w:val="auto"/>
                <w:highlight w:val="none"/>
              </w:rPr>
              <w:t>≥2000</w:t>
            </w:r>
          </w:p>
        </w:tc>
        <w:tc>
          <w:tcPr>
            <w:tcW w:w="2338" w:type="dxa"/>
            <w:shd w:val="clear" w:color="auto" w:fill="auto"/>
            <w:vAlign w:val="center"/>
          </w:tcPr>
          <w:p w14:paraId="0DA072BB">
            <w:pPr>
              <w:pStyle w:val="178"/>
              <w:rPr>
                <w:color w:val="auto"/>
                <w:highlight w:val="none"/>
              </w:rPr>
            </w:pPr>
            <w:r>
              <w:rPr>
                <w:rFonts w:hint="eastAsia"/>
                <w:color w:val="auto"/>
                <w:highlight w:val="none"/>
              </w:rPr>
              <w:t>5000～10000</w:t>
            </w:r>
          </w:p>
        </w:tc>
      </w:tr>
      <w:tr w14:paraId="4823582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988" w:type="dxa"/>
            <w:shd w:val="clear" w:color="auto" w:fill="auto"/>
          </w:tcPr>
          <w:p w14:paraId="1D5D6775">
            <w:pPr>
              <w:pStyle w:val="178"/>
              <w:rPr>
                <w:color w:val="auto"/>
                <w:highlight w:val="none"/>
              </w:rPr>
            </w:pPr>
            <w:r>
              <w:rPr>
                <w:rFonts w:hint="eastAsia"/>
                <w:color w:val="auto"/>
                <w:highlight w:val="none"/>
              </w:rPr>
              <w:t>Ⅲ档</w:t>
            </w:r>
          </w:p>
        </w:tc>
        <w:tc>
          <w:tcPr>
            <w:tcW w:w="2687" w:type="dxa"/>
            <w:shd w:val="clear" w:color="auto" w:fill="auto"/>
            <w:vAlign w:val="center"/>
          </w:tcPr>
          <w:p w14:paraId="1DC95384">
            <w:pPr>
              <w:pStyle w:val="178"/>
              <w:rPr>
                <w:color w:val="auto"/>
                <w:highlight w:val="none"/>
              </w:rPr>
            </w:pPr>
            <w:r>
              <w:rPr>
                <w:rFonts w:hint="eastAsia"/>
                <w:color w:val="auto"/>
                <w:highlight w:val="none"/>
              </w:rPr>
              <w:t>≥1000</w:t>
            </w:r>
          </w:p>
        </w:tc>
        <w:tc>
          <w:tcPr>
            <w:tcW w:w="2338" w:type="dxa"/>
            <w:shd w:val="clear" w:color="auto" w:fill="auto"/>
            <w:vAlign w:val="center"/>
          </w:tcPr>
          <w:p w14:paraId="35D01394">
            <w:pPr>
              <w:pStyle w:val="178"/>
              <w:rPr>
                <w:color w:val="auto"/>
                <w:highlight w:val="none"/>
              </w:rPr>
            </w:pPr>
            <w:r>
              <w:rPr>
                <w:rFonts w:hint="eastAsia"/>
                <w:color w:val="auto"/>
                <w:highlight w:val="none"/>
              </w:rPr>
              <w:t>2000～5000</w:t>
            </w:r>
          </w:p>
        </w:tc>
      </w:tr>
      <w:tr w14:paraId="2A4E0A4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988" w:type="dxa"/>
            <w:shd w:val="clear" w:color="auto" w:fill="auto"/>
          </w:tcPr>
          <w:p w14:paraId="157FC2E2">
            <w:pPr>
              <w:pStyle w:val="178"/>
              <w:rPr>
                <w:color w:val="auto"/>
                <w:highlight w:val="none"/>
              </w:rPr>
            </w:pPr>
            <w:r>
              <w:rPr>
                <w:rFonts w:hint="eastAsia"/>
                <w:color w:val="auto"/>
                <w:highlight w:val="none"/>
              </w:rPr>
              <w:t>Ⅳ档</w:t>
            </w:r>
          </w:p>
        </w:tc>
        <w:tc>
          <w:tcPr>
            <w:tcW w:w="2687" w:type="dxa"/>
            <w:shd w:val="clear" w:color="auto" w:fill="auto"/>
            <w:vAlign w:val="center"/>
          </w:tcPr>
          <w:p w14:paraId="30AB2B55">
            <w:pPr>
              <w:pStyle w:val="178"/>
              <w:rPr>
                <w:color w:val="auto"/>
                <w:highlight w:val="none"/>
              </w:rPr>
            </w:pPr>
            <w:r>
              <w:rPr>
                <w:rFonts w:hint="eastAsia"/>
                <w:color w:val="auto"/>
                <w:highlight w:val="none"/>
              </w:rPr>
              <w:t>≥500</w:t>
            </w:r>
          </w:p>
        </w:tc>
        <w:tc>
          <w:tcPr>
            <w:tcW w:w="2338" w:type="dxa"/>
            <w:shd w:val="clear" w:color="auto" w:fill="auto"/>
            <w:vAlign w:val="center"/>
          </w:tcPr>
          <w:p w14:paraId="2993AACB">
            <w:pPr>
              <w:pStyle w:val="178"/>
              <w:rPr>
                <w:color w:val="auto"/>
                <w:highlight w:val="none"/>
              </w:rPr>
            </w:pPr>
            <w:r>
              <w:rPr>
                <w:rFonts w:hint="eastAsia"/>
                <w:color w:val="auto"/>
                <w:highlight w:val="none"/>
              </w:rPr>
              <w:t>1000～2000</w:t>
            </w:r>
          </w:p>
        </w:tc>
      </w:tr>
      <w:tr w14:paraId="327F9B4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988" w:type="dxa"/>
            <w:shd w:val="clear" w:color="auto" w:fill="auto"/>
          </w:tcPr>
          <w:p w14:paraId="202E59C5">
            <w:pPr>
              <w:pStyle w:val="178"/>
              <w:rPr>
                <w:color w:val="auto"/>
                <w:highlight w:val="none"/>
              </w:rPr>
            </w:pPr>
            <w:r>
              <w:rPr>
                <w:rFonts w:hint="eastAsia"/>
                <w:color w:val="auto"/>
                <w:highlight w:val="none"/>
              </w:rPr>
              <w:t>Ⅴ档</w:t>
            </w:r>
          </w:p>
        </w:tc>
        <w:tc>
          <w:tcPr>
            <w:tcW w:w="2687" w:type="dxa"/>
            <w:shd w:val="clear" w:color="auto" w:fill="auto"/>
            <w:vAlign w:val="center"/>
          </w:tcPr>
          <w:p w14:paraId="3D9D5C2D">
            <w:pPr>
              <w:pStyle w:val="178"/>
              <w:rPr>
                <w:color w:val="auto"/>
                <w:highlight w:val="none"/>
              </w:rPr>
            </w:pPr>
            <w:r>
              <w:rPr>
                <w:rFonts w:hint="eastAsia"/>
                <w:color w:val="auto"/>
                <w:highlight w:val="none"/>
              </w:rPr>
              <w:t>≥200</w:t>
            </w:r>
          </w:p>
        </w:tc>
        <w:tc>
          <w:tcPr>
            <w:tcW w:w="2338" w:type="dxa"/>
            <w:shd w:val="clear" w:color="auto" w:fill="auto"/>
            <w:vAlign w:val="center"/>
          </w:tcPr>
          <w:p w14:paraId="619FC268">
            <w:pPr>
              <w:pStyle w:val="178"/>
              <w:rPr>
                <w:color w:val="auto"/>
                <w:highlight w:val="none"/>
              </w:rPr>
            </w:pPr>
            <w:r>
              <w:rPr>
                <w:rFonts w:hint="eastAsia"/>
                <w:color w:val="auto"/>
                <w:highlight w:val="none"/>
              </w:rPr>
              <w:t>500～1000</w:t>
            </w:r>
          </w:p>
        </w:tc>
      </w:tr>
    </w:tbl>
    <w:p w14:paraId="3CEE8CE9">
      <w:pPr>
        <w:pStyle w:val="164"/>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拆解中心的规划宜依据所在服务区域年总拆解产能需求来选择不同分档拆解中心类型及相应数量。</w:t>
      </w:r>
    </w:p>
    <w:p w14:paraId="4CBF0E67">
      <w:pPr>
        <w:pStyle w:val="164"/>
        <w:rPr>
          <w:color w:val="auto"/>
          <w:highlight w:val="none"/>
        </w:rPr>
      </w:pPr>
      <w:r>
        <w:rPr>
          <w:rFonts w:hint="eastAsia"/>
          <w:color w:val="auto"/>
          <w:highlight w:val="none"/>
        </w:rPr>
        <w:t>拆解中心服务的对象宜与服务区域内主要农机装备种类合理设置。</w:t>
      </w:r>
    </w:p>
    <w:p w14:paraId="3B9BD8FF">
      <w:pPr>
        <w:pStyle w:val="164"/>
        <w:rPr>
          <w:color w:val="auto"/>
          <w:highlight w:val="none"/>
        </w:rPr>
      </w:pPr>
      <w:r>
        <w:rPr>
          <w:rFonts w:hint="eastAsia"/>
          <w:color w:val="auto"/>
          <w:highlight w:val="none"/>
        </w:rPr>
        <w:t>服务区域年总拆解产能宜参考区域内年农业机械保有量的4%～10%测算。</w:t>
      </w:r>
    </w:p>
    <w:p w14:paraId="0CD6A83C">
      <w:pPr>
        <w:pStyle w:val="65"/>
        <w:spacing w:before="156" w:after="156"/>
      </w:pPr>
      <w:r>
        <w:rPr>
          <w:rFonts w:hint="eastAsia"/>
        </w:rPr>
        <w:t>安全要求</w:t>
      </w:r>
    </w:p>
    <w:p w14:paraId="59C81544">
      <w:pPr>
        <w:pStyle w:val="164"/>
      </w:pPr>
      <w:r>
        <w:rPr>
          <w:rFonts w:hint="eastAsia"/>
        </w:rPr>
        <w:t>应按照GB/T 33000规定的要求，制定安全生产组织管理制度、职工安全生产培训制度、安全生产检查制度、消防演练和突发事件应急预案等。</w:t>
      </w:r>
    </w:p>
    <w:p w14:paraId="0B8D06A6">
      <w:pPr>
        <w:pStyle w:val="164"/>
      </w:pPr>
      <w:r>
        <w:rPr>
          <w:rFonts w:hint="eastAsia"/>
        </w:rPr>
        <w:t>应按照GB 2894规定的要求在拆解场地内设置和使用安全标志。</w:t>
      </w:r>
    </w:p>
    <w:p w14:paraId="783E3876">
      <w:pPr>
        <w:pStyle w:val="164"/>
      </w:pPr>
      <w:r>
        <w:rPr>
          <w:rFonts w:hint="eastAsia"/>
        </w:rPr>
        <w:t>应按照GBZ 188规定的要求对接触有害化学因素、物理因素、粉尘等的作业人员进行监护。</w:t>
      </w:r>
    </w:p>
    <w:p w14:paraId="010433C7">
      <w:pPr>
        <w:pStyle w:val="65"/>
        <w:spacing w:before="156" w:after="156"/>
      </w:pPr>
      <w:r>
        <w:rPr>
          <w:rFonts w:hint="eastAsia"/>
        </w:rPr>
        <w:t>环保要求</w:t>
      </w:r>
    </w:p>
    <w:p w14:paraId="2DC74877">
      <w:pPr>
        <w:pStyle w:val="164"/>
      </w:pPr>
      <w:r>
        <w:rPr>
          <w:rFonts w:hint="eastAsia"/>
        </w:rPr>
        <w:t>拆解区环境噪声限值应符合GB 12348规定的三类声环境功能区的要求。</w:t>
      </w:r>
    </w:p>
    <w:p w14:paraId="7AFE22CC">
      <w:pPr>
        <w:pStyle w:val="164"/>
      </w:pPr>
      <w:r>
        <w:rPr>
          <w:rFonts w:hint="eastAsia"/>
        </w:rPr>
        <w:t>存在有害气体或易燃气体，应具有导流和无害化处理的能力。</w:t>
      </w:r>
    </w:p>
    <w:p w14:paraId="188A94E2">
      <w:pPr>
        <w:pStyle w:val="65"/>
        <w:spacing w:before="156" w:after="156"/>
      </w:pPr>
      <w:r>
        <w:rPr>
          <w:rFonts w:hint="eastAsia"/>
        </w:rPr>
        <w:t>场地要求</w:t>
      </w:r>
    </w:p>
    <w:p w14:paraId="409A9D98">
      <w:pPr>
        <w:pStyle w:val="164"/>
      </w:pPr>
      <w:r>
        <w:rPr>
          <w:rFonts w:hint="eastAsia"/>
        </w:rPr>
        <w:t>应有独立的拆解区、报废农业机械储存区、拆解后零部件和物料储存区、固体废弃物或危险废物料储存控制区等功能区，各功能区场地面积应与拆解能力相匹配，作业场地（包括拆解和储存场地）面积不低于拆解中心总面积的70%。</w:t>
      </w:r>
    </w:p>
    <w:p w14:paraId="42E2E34D">
      <w:pPr>
        <w:pStyle w:val="164"/>
      </w:pPr>
      <w:r>
        <w:rPr>
          <w:rFonts w:hint="eastAsia"/>
        </w:rPr>
        <w:t>不同</w:t>
      </w:r>
      <w:r>
        <w:rPr>
          <w:rFonts w:hint="eastAsia"/>
          <w:color w:val="000000" w:themeColor="text1"/>
          <w14:textFill>
            <w14:solidFill>
              <w14:schemeClr w14:val="tx1"/>
            </w14:solidFill>
          </w14:textFill>
        </w:rPr>
        <w:t>类型</w:t>
      </w:r>
      <w:r>
        <w:rPr>
          <w:rFonts w:hint="eastAsia"/>
        </w:rPr>
        <w:t>拆解中心的最低经营面积见表1。</w:t>
      </w:r>
    </w:p>
    <w:p w14:paraId="55CE5FC5">
      <w:pPr>
        <w:pStyle w:val="164"/>
      </w:pPr>
      <w:r>
        <w:rPr>
          <w:rFonts w:hint="eastAsia"/>
        </w:rPr>
        <w:t>拆解车间应为封闭或者半封闭车间。</w:t>
      </w:r>
    </w:p>
    <w:p w14:paraId="382366F6">
      <w:pPr>
        <w:pStyle w:val="164"/>
      </w:pPr>
      <w:r>
        <w:rPr>
          <w:rFonts w:hint="eastAsia"/>
        </w:rPr>
        <w:t>一般工业固体废物储存场地应符合GB 18599规定的要求。</w:t>
      </w:r>
    </w:p>
    <w:p w14:paraId="0656A549">
      <w:pPr>
        <w:pStyle w:val="164"/>
      </w:pPr>
      <w:r>
        <w:rPr>
          <w:rFonts w:hint="eastAsia"/>
        </w:rPr>
        <w:t>危险废物的储存场地应符合GB 18597规定的要求。</w:t>
      </w:r>
    </w:p>
    <w:p w14:paraId="35508EBE">
      <w:pPr>
        <w:pStyle w:val="164"/>
      </w:pPr>
      <w:r>
        <w:rPr>
          <w:rFonts w:hint="eastAsia"/>
        </w:rPr>
        <w:t>拆解电动农业机械的企业还应满足以下场地建设要求：</w:t>
      </w:r>
    </w:p>
    <w:p w14:paraId="60E9FD99">
      <w:pPr>
        <w:pStyle w:val="174"/>
      </w:pPr>
      <w:r>
        <w:rPr>
          <w:rFonts w:hint="eastAsia"/>
        </w:rPr>
        <w:t>具有自走式农业机械储存场地、电池储存场地和电池拆卸专用场地。</w:t>
      </w:r>
    </w:p>
    <w:p w14:paraId="1BDB57EC">
      <w:pPr>
        <w:pStyle w:val="174"/>
      </w:pPr>
      <w:r>
        <w:rPr>
          <w:rFonts w:hint="eastAsia"/>
        </w:rPr>
        <w:t>电池贮存场地应设在易燃、易爆等危险品仓库及高压输电线路防护区域以外，并设有烟雾报警器等火灾自动报警设施。</w:t>
      </w:r>
    </w:p>
    <w:p w14:paraId="0658C1DC">
      <w:pPr>
        <w:pStyle w:val="174"/>
      </w:pPr>
      <w:r>
        <w:rPr>
          <w:rFonts w:hint="eastAsia"/>
        </w:rPr>
        <w:t>电池拆卸专用场地地面应做绝缘处理。</w:t>
      </w:r>
    </w:p>
    <w:p w14:paraId="5539CF19">
      <w:pPr>
        <w:pStyle w:val="65"/>
        <w:spacing w:before="156" w:after="156"/>
      </w:pPr>
      <w:r>
        <w:rPr>
          <w:rFonts w:hint="eastAsia"/>
        </w:rPr>
        <w:t>设备要求</w:t>
      </w:r>
    </w:p>
    <w:p w14:paraId="5781FD01">
      <w:pPr>
        <w:pStyle w:val="164"/>
        <w:numPr>
          <w:ilvl w:val="4"/>
          <w:numId w:val="0"/>
        </w:numPr>
        <w:ind w:firstLine="420" w:firstLineChars="200"/>
      </w:pPr>
      <w:r>
        <w:rPr>
          <w:rFonts w:hint="eastAsia"/>
        </w:rPr>
        <w:t>拆解中心</w:t>
      </w:r>
      <w:r>
        <w:rPr>
          <w:rFonts w:hint="eastAsia"/>
          <w:color w:val="auto"/>
        </w:rPr>
        <w:t>配置</w:t>
      </w:r>
      <w:r>
        <w:rPr>
          <w:rFonts w:hint="eastAsia"/>
        </w:rPr>
        <w:t>的设备应符合NY/T 2900-2022中4.4的要求。</w:t>
      </w:r>
    </w:p>
    <w:p w14:paraId="4E842CB4">
      <w:pPr>
        <w:pStyle w:val="65"/>
        <w:spacing w:before="156" w:after="156"/>
      </w:pPr>
      <w:r>
        <w:rPr>
          <w:rFonts w:hint="eastAsia"/>
        </w:rPr>
        <w:t>经营要求</w:t>
      </w:r>
    </w:p>
    <w:p w14:paraId="3CCD8D1C">
      <w:pPr>
        <w:pStyle w:val="164"/>
      </w:pPr>
      <w:r>
        <w:rPr>
          <w:rFonts w:hint="eastAsia"/>
        </w:rPr>
        <w:t>应具有专业的技术人员，国家有持证上岗规定的岗位，应持证上岗。</w:t>
      </w:r>
    </w:p>
    <w:p w14:paraId="55C9070C">
      <w:pPr>
        <w:pStyle w:val="164"/>
      </w:pPr>
      <w:r>
        <w:rPr>
          <w:rFonts w:hint="eastAsia"/>
        </w:rPr>
        <w:t>应记录的信息包括但不限于机主姓名或单位名称、身份证号或统一社会信用代码、牌照号码(适用时)、品牌型号、机架号、发动机号（适用时）、出厂时间、接收或收购日期。</w:t>
      </w:r>
    </w:p>
    <w:p w14:paraId="0C766755">
      <w:pPr>
        <w:pStyle w:val="164"/>
      </w:pPr>
      <w:r>
        <w:rPr>
          <w:rFonts w:hint="eastAsia"/>
        </w:rPr>
        <w:t>宜根据生产企业提供的产品说明书、产品图册编制拆解作业流程图，拆解作业流程图应注明拆解流程、拆解方法、所需设备或工具；对于复杂产品或部件，宜编制拆解作业指导书。</w:t>
      </w:r>
    </w:p>
    <w:p w14:paraId="09127AE7">
      <w:pPr>
        <w:pStyle w:val="164"/>
      </w:pPr>
      <w:r>
        <w:rPr>
          <w:rFonts w:hint="eastAsia"/>
        </w:rPr>
        <w:t>具有再利用或再制造价值的零部件可交给具有相应资质的企业。</w:t>
      </w:r>
    </w:p>
    <w:p w14:paraId="4D0C042D">
      <w:pPr>
        <w:pStyle w:val="164"/>
      </w:pPr>
      <w:r>
        <w:rPr>
          <w:rFonts w:hint="eastAsia"/>
        </w:rPr>
        <w:t>废金属、废塑料、废橡胶等可再利用的固体废弃物可交给再生资源回收利用企业。</w:t>
      </w:r>
    </w:p>
    <w:p w14:paraId="62774F26">
      <w:pPr>
        <w:pStyle w:val="164"/>
      </w:pPr>
      <w:r>
        <w:rPr>
          <w:rFonts w:hint="eastAsia"/>
        </w:rPr>
        <w:t>不可再利用的固体废弃物、废液、危险废物应交给具有相应资质的处理处置企业。</w:t>
      </w:r>
    </w:p>
    <w:p w14:paraId="730F2939">
      <w:pPr>
        <w:pStyle w:val="164"/>
      </w:pPr>
      <w:r>
        <w:rPr>
          <w:rFonts w:hint="eastAsia"/>
        </w:rPr>
        <w:t>应记录回收、拆解、废弃物处理及拆解后零部件、材料和废弃物的数量/重量和流向等，进行标识，处理批次和拆解数量与接收重量应</w:t>
      </w:r>
      <w:r>
        <w:rPr>
          <w:rFonts w:hint="eastAsia"/>
          <w:color w:val="000000" w:themeColor="text1"/>
          <w14:textFill>
            <w14:solidFill>
              <w14:schemeClr w14:val="tx1"/>
            </w14:solidFill>
          </w14:textFill>
        </w:rPr>
        <w:t>匹配</w:t>
      </w:r>
      <w:r>
        <w:rPr>
          <w:rFonts w:hint="eastAsia"/>
        </w:rPr>
        <w:t>。</w:t>
      </w:r>
    </w:p>
    <w:p w14:paraId="215D51D6">
      <w:pPr>
        <w:pStyle w:val="164"/>
      </w:pPr>
      <w:r>
        <w:rPr>
          <w:rFonts w:hint="eastAsia"/>
        </w:rPr>
        <w:t>应建立电子档案、纸质档案和铭牌档案，纸质档案和铭牌档案保存期限应不少于3年，电子档案保存期限应不少于5年。</w:t>
      </w:r>
    </w:p>
    <w:p w14:paraId="10C6F36F">
      <w:pPr>
        <w:pStyle w:val="105"/>
        <w:spacing w:before="156" w:after="156"/>
      </w:pPr>
      <w:r>
        <w:rPr>
          <w:rFonts w:hint="eastAsia"/>
        </w:rPr>
        <w:t>信息化管理平台</w:t>
      </w:r>
    </w:p>
    <w:p w14:paraId="77B1AC7E">
      <w:pPr>
        <w:pStyle w:val="65"/>
        <w:spacing w:before="156" w:after="156"/>
      </w:pPr>
      <w:r>
        <w:rPr>
          <w:rFonts w:hint="eastAsia"/>
        </w:rPr>
        <w:t>建设要求</w:t>
      </w:r>
    </w:p>
    <w:p w14:paraId="29905B05">
      <w:pPr>
        <w:pStyle w:val="56"/>
        <w:ind w:firstLine="420"/>
      </w:pPr>
      <w:r>
        <w:rPr>
          <w:rFonts w:hint="eastAsia"/>
        </w:rPr>
        <w:t>平台应采用模块化设计，具备信息高并发处理能力，可支持多种操作系统、浏览器和移动设备。</w:t>
      </w:r>
    </w:p>
    <w:p w14:paraId="42C44823">
      <w:pPr>
        <w:pStyle w:val="65"/>
        <w:spacing w:before="156" w:after="156"/>
      </w:pPr>
      <w:r>
        <w:rPr>
          <w:rFonts w:hint="eastAsia"/>
        </w:rPr>
        <w:t>平台功能要求</w:t>
      </w:r>
    </w:p>
    <w:p w14:paraId="1FC06DDD">
      <w:pPr>
        <w:pStyle w:val="56"/>
        <w:ind w:firstLine="420"/>
      </w:pPr>
      <w:r>
        <w:rPr>
          <w:rFonts w:hint="eastAsia"/>
        </w:rPr>
        <w:t>应支持报废农业机械回收拆解登记信息、拆解后零部件、材料和废弃物的数量/重量和流向等信息的数据采集、数据存储、数据处理、数据分析和报表生成</w:t>
      </w:r>
      <w:r>
        <w:rPr>
          <w:rFonts w:hint="eastAsia"/>
          <w:color w:val="000000" w:themeColor="text1"/>
          <w14:textFill>
            <w14:solidFill>
              <w14:schemeClr w14:val="tx1"/>
            </w14:solidFill>
          </w14:textFill>
        </w:rPr>
        <w:t>等</w:t>
      </w:r>
      <w:r>
        <w:rPr>
          <w:rFonts w:hint="eastAsia"/>
        </w:rPr>
        <w:t>。</w:t>
      </w:r>
    </w:p>
    <w:p w14:paraId="25A7F814">
      <w:pPr>
        <w:pStyle w:val="65"/>
        <w:spacing w:before="156" w:after="156"/>
      </w:pPr>
      <w:r>
        <w:rPr>
          <w:rFonts w:hint="eastAsia"/>
        </w:rPr>
        <w:t>安全性要求</w:t>
      </w:r>
    </w:p>
    <w:p w14:paraId="73776492">
      <w:pPr>
        <w:pStyle w:val="56"/>
        <w:ind w:firstLine="420"/>
      </w:pPr>
      <w:r>
        <w:rPr>
          <w:rFonts w:hint="eastAsia"/>
        </w:rPr>
        <w:t>平台建设应满足GB/T 20271</w:t>
      </w:r>
      <w:r>
        <w:rPr>
          <w:rFonts w:hint="eastAsia"/>
          <w:color w:val="000000" w:themeColor="text1"/>
          <w14:textFill>
            <w14:solidFill>
              <w14:schemeClr w14:val="tx1"/>
            </w14:solidFill>
          </w14:textFill>
        </w:rPr>
        <w:t>规定的</w:t>
      </w:r>
      <w:r>
        <w:rPr>
          <w:rFonts w:hint="eastAsia"/>
        </w:rPr>
        <w:t>要求和GB/T 2223</w:t>
      </w:r>
      <w:r>
        <w:rPr>
          <w:rFonts w:hint="eastAsia"/>
          <w:color w:val="000000" w:themeColor="text1"/>
          <w14:textFill>
            <w14:solidFill>
              <w14:schemeClr w14:val="tx1"/>
            </w14:solidFill>
          </w14:textFill>
        </w:rPr>
        <w:t>9-2019</w:t>
      </w:r>
      <w:r>
        <w:rPr>
          <w:rFonts w:hint="eastAsia"/>
        </w:rPr>
        <w:t>中第三级安全等级保护的基本要求。</w:t>
      </w:r>
    </w:p>
    <w:p w14:paraId="21CDE873">
      <w:pPr>
        <w:pStyle w:val="56"/>
        <w:ind w:firstLine="420"/>
      </w:pPr>
    </w:p>
    <w:p w14:paraId="20B8DCD1">
      <w:pPr>
        <w:pStyle w:val="56"/>
        <w:ind w:firstLine="420"/>
      </w:pPr>
    </w:p>
    <w:p w14:paraId="19A2C71E">
      <w:pPr>
        <w:pStyle w:val="56"/>
        <w:ind w:firstLine="420"/>
        <w:sectPr>
          <w:pgSz w:w="11906" w:h="16838"/>
          <w:pgMar w:top="1928" w:right="1134" w:bottom="1134" w:left="1134" w:header="1418" w:footer="1134" w:gutter="284"/>
          <w:pgNumType w:start="1"/>
          <w:cols w:space="425" w:num="1"/>
          <w:formProt w:val="0"/>
          <w:docGrid w:type="lines" w:linePitch="312" w:charSpace="0"/>
        </w:sectPr>
      </w:pPr>
    </w:p>
    <w:bookmarkEnd w:id="20"/>
    <w:p w14:paraId="5E0EE225">
      <w:pPr>
        <w:pStyle w:val="198"/>
      </w:pPr>
      <w:bookmarkStart w:id="42" w:name="BookMark5"/>
    </w:p>
    <w:p w14:paraId="3B666330">
      <w:pPr>
        <w:pStyle w:val="199"/>
      </w:pPr>
    </w:p>
    <w:bookmarkEnd w:id="42"/>
    <w:p w14:paraId="67ED2E33">
      <w:pPr>
        <w:pStyle w:val="63"/>
        <w:spacing w:after="156"/>
      </w:pPr>
      <w:bookmarkStart w:id="43" w:name="BookMark6"/>
      <w:r>
        <w:rPr>
          <w:rFonts w:hint="eastAsia"/>
          <w:spacing w:val="105"/>
        </w:rPr>
        <w:t>参考文</w:t>
      </w:r>
      <w:r>
        <w:rPr>
          <w:rFonts w:hint="eastAsia"/>
        </w:rPr>
        <w:t>献</w:t>
      </w:r>
    </w:p>
    <w:p w14:paraId="0DBA0CF7">
      <w:pPr>
        <w:pStyle w:val="109"/>
        <w:numPr>
          <w:ilvl w:val="0"/>
          <w:numId w:val="0"/>
        </w:numPr>
        <w:ind w:firstLine="420" w:firstLineChars="200"/>
      </w:pPr>
      <w:r>
        <w:rPr>
          <w:rFonts w:hint="eastAsia"/>
        </w:rPr>
        <w:t>[1] GB 3095-2012 环境空气质量标准</w:t>
      </w:r>
    </w:p>
    <w:p w14:paraId="795C7214">
      <w:pPr>
        <w:pStyle w:val="109"/>
        <w:numPr>
          <w:ilvl w:val="0"/>
          <w:numId w:val="0"/>
        </w:numPr>
        <w:ind w:firstLine="420" w:firstLineChars="200"/>
      </w:pPr>
      <w:r>
        <w:rPr>
          <w:rFonts w:hint="eastAsia"/>
        </w:rPr>
        <w:t>[2] GB 8978-1996 污水综合排放标准</w:t>
      </w:r>
    </w:p>
    <w:p w14:paraId="54D9A6D9">
      <w:pPr>
        <w:pStyle w:val="109"/>
        <w:numPr>
          <w:ilvl w:val="0"/>
          <w:numId w:val="0"/>
        </w:numPr>
        <w:ind w:firstLine="420" w:firstLineChars="200"/>
      </w:pPr>
      <w:r>
        <w:rPr>
          <w:rFonts w:hint="eastAsia"/>
        </w:rPr>
        <w:t>[3] GB 15618-2018 土壤环境质量 农用地土壤污染风险管控标准（试行）</w:t>
      </w:r>
    </w:p>
    <w:p w14:paraId="55EDED9E">
      <w:pPr>
        <w:pStyle w:val="109"/>
        <w:numPr>
          <w:ilvl w:val="0"/>
          <w:numId w:val="0"/>
        </w:numPr>
        <w:ind w:firstLine="420" w:firstLineChars="200"/>
      </w:pPr>
      <w:r>
        <w:rPr>
          <w:rFonts w:hint="eastAsia"/>
        </w:rPr>
        <w:t>[4] GB/T 37515-2019 再生资源回收体系建设规范</w:t>
      </w:r>
    </w:p>
    <w:p w14:paraId="74D7D173">
      <w:pPr>
        <w:pStyle w:val="109"/>
        <w:numPr>
          <w:ilvl w:val="0"/>
          <w:numId w:val="0"/>
        </w:numPr>
        <w:ind w:firstLine="420" w:firstLineChars="200"/>
      </w:pPr>
      <w:r>
        <w:rPr>
          <w:rFonts w:hint="eastAsia"/>
        </w:rPr>
        <w:t>[5] GB/T 38698.2-2023 车用动力电池回收利用 管理规范 第2部分：回收服务网点</w:t>
      </w:r>
    </w:p>
    <w:p w14:paraId="6218E96A">
      <w:pPr>
        <w:pStyle w:val="109"/>
        <w:numPr>
          <w:ilvl w:val="0"/>
          <w:numId w:val="0"/>
        </w:numPr>
        <w:ind w:firstLine="420" w:firstLineChars="200"/>
      </w:pPr>
      <w:r>
        <w:rPr>
          <w:rFonts w:hint="eastAsia"/>
        </w:rPr>
        <w:t>[6] GB/T 39256-2020 绿色制造 制造企业绿色供应链管理 信息化管理平台规范</w:t>
      </w:r>
    </w:p>
    <w:p w14:paraId="79EC0C3E">
      <w:pPr>
        <w:pStyle w:val="56"/>
        <w:ind w:firstLine="420"/>
      </w:pPr>
    </w:p>
    <w:p w14:paraId="60AF251A">
      <w:pPr>
        <w:pStyle w:val="56"/>
        <w:ind w:firstLine="420"/>
      </w:pPr>
    </w:p>
    <w:p w14:paraId="3EB8240A">
      <w:pPr>
        <w:pStyle w:val="56"/>
        <w:ind w:firstLine="420"/>
      </w:pPr>
    </w:p>
    <w:p w14:paraId="75EB3F77">
      <w:pPr>
        <w:pStyle w:val="56"/>
        <w:ind w:firstLine="420"/>
      </w:pPr>
    </w:p>
    <w:bookmarkEnd w:id="43"/>
    <w:p w14:paraId="03EE8517">
      <w:pPr>
        <w:pStyle w:val="56"/>
        <w:ind w:firstLine="0" w:firstLineChars="0"/>
        <w:jc w:val="center"/>
      </w:pPr>
      <w:bookmarkStart w:id="44" w:name="BookMark8"/>
      <w:r>
        <w:rPr>
          <w:rFonts w:hint="eastAsia"/>
        </w:rPr>
        <w:drawing>
          <wp:inline distT="0" distB="0" distL="0" distR="0">
            <wp:extent cx="1485900" cy="317500"/>
            <wp:effectExtent l="0" t="0" r="0" b="6350"/>
            <wp:docPr id="29674659" name="图片 3"/>
            <wp:cNvGraphicFramePr/>
            <a:graphic xmlns:a="http://schemas.openxmlformats.org/drawingml/2006/main">
              <a:graphicData uri="http://schemas.openxmlformats.org/drawingml/2006/picture">
                <pic:pic xmlns:pic="http://schemas.openxmlformats.org/drawingml/2006/picture">
                  <pic:nvPicPr>
                    <pic:cNvPr id="29674659" name="图片 3"/>
                    <pic:cNvPicPr/>
                  </pic:nvPicPr>
                  <pic:blipFill>
                    <a:blip r:embed="rId16">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44"/>
    </w:p>
    <w:sectPr>
      <w:pgSz w:w="11906" w:h="16838"/>
      <w:pgMar w:top="1928" w:right="1134" w:bottom="1134" w:left="1134" w:header="1418" w:footer="1134" w:gutter="284"/>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1040F2">
    <w:pPr>
      <w:pStyle w:val="17"/>
    </w:pPr>
    <w:r>
      <w:fldChar w:fldCharType="begin"/>
    </w:r>
    <w:r>
      <w:instrText xml:space="preserve">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992287">
    <w:pPr>
      <w:pStyle w:val="17"/>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34CE3C">
    <w:pPr>
      <w:pStyle w:val="52"/>
    </w:pPr>
    <w:r>
      <w:fldChar w:fldCharType="begin"/>
    </w:r>
    <w:r>
      <w:instrText xml:space="preserve">PAGE   \* MERGEFORMAT</w:instrText>
    </w:r>
    <w:r>
      <w:fldChar w:fldCharType="separate"/>
    </w:r>
    <w:r>
      <w:rPr>
        <w:lang w:val="zh-CN"/>
      </w:rPr>
      <w:t>5</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EB5E67">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54B419">
    <w:pPr>
      <w:pStyle w:val="18"/>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515655">
    <w:pPr>
      <w:pStyle w:val="61"/>
      <w:spacing w:after="0"/>
    </w:pPr>
    <w:r>
      <w:fldChar w:fldCharType="begin"/>
    </w:r>
    <w:r>
      <w:instrText xml:space="preserve"> STYLEREF  标准文件_文件编号  \* MERGEFORMAT </w:instrText>
    </w:r>
    <w:r>
      <w:fldChar w:fldCharType="separate"/>
    </w:r>
    <w:r>
      <w:t>GB/T XXXXX—XXXX</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59CDBB">
    <w:pPr>
      <w:pStyle w:val="18"/>
      <w:jc w:val="right"/>
    </w:pPr>
    <w:r>
      <w:fldChar w:fldCharType="begin"/>
    </w:r>
    <w:r>
      <w:instrText xml:space="preserve"> STYLEREF  标准文件_文件编号  \* MERGEFORMAT </w:instrText>
    </w:r>
    <w:r>
      <w:fldChar w:fldCharType="separate"/>
    </w:r>
    <w:r>
      <w:t>GB/T XXXXX—XXXX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65"/>
      <w:suff w:val="nothing"/>
      <w:lvlText w:val="%1%2.%3.%4　"/>
      <w:lvlJc w:val="left"/>
      <w:pPr>
        <w:ind w:left="0"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79"/>
      <w:lvlText w:val="%1注："/>
      <w:lvlJc w:val="left"/>
      <w:pPr>
        <w:ind w:left="1650"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doNotDisplayPageBoundaries w:val="1"/>
  <w:bordersDoNotSurroundHeader w:val="1"/>
  <w:bordersDoNotSurroundFooter w:val="1"/>
  <w:attachedTemplate r:id="rId1"/>
  <w:documentProtection w:edit="forms" w:enforcement="1" w:cryptProviderType="rsaAES" w:cryptAlgorithmClass="hash" w:cryptAlgorithmType="typeAny" w:cryptAlgorithmSid="14" w:cryptSpinCount="100000" w:hash="PWkYXUPqauR/ClSIOtVdDXGEb7sU5OHyfcUSX8QYglr5+2B/TZXRqO1hHXa6PZzg8cGQfRsJYmE+c9k6KCmpPQ==" w:salt="z8gkcT1Qjf+xsV0w9f7zng=="/>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Q2ZWExMDIwMTAyNTlkY2I3MDQ0MGE2NzkwYzQ5NGQifQ=="/>
  </w:docVars>
  <w:rsids>
    <w:rsidRoot w:val="006F391D"/>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4249A"/>
    <w:rsid w:val="00043282"/>
    <w:rsid w:val="00044286"/>
    <w:rsid w:val="00047F28"/>
    <w:rsid w:val="000503AA"/>
    <w:rsid w:val="000506A1"/>
    <w:rsid w:val="000515DD"/>
    <w:rsid w:val="0005249F"/>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4D73"/>
    <w:rsid w:val="00096D63"/>
    <w:rsid w:val="000A0B60"/>
    <w:rsid w:val="000A0EB8"/>
    <w:rsid w:val="000A19FC"/>
    <w:rsid w:val="000A296B"/>
    <w:rsid w:val="000A7311"/>
    <w:rsid w:val="000B060F"/>
    <w:rsid w:val="000B1592"/>
    <w:rsid w:val="000B1FF2"/>
    <w:rsid w:val="000B3CDA"/>
    <w:rsid w:val="000B6A0B"/>
    <w:rsid w:val="000C081B"/>
    <w:rsid w:val="000C0F6C"/>
    <w:rsid w:val="000C11DB"/>
    <w:rsid w:val="000C2FBD"/>
    <w:rsid w:val="000C3E10"/>
    <w:rsid w:val="000C4B41"/>
    <w:rsid w:val="000C57D6"/>
    <w:rsid w:val="000C7666"/>
    <w:rsid w:val="000D0A9C"/>
    <w:rsid w:val="000D1795"/>
    <w:rsid w:val="000D329A"/>
    <w:rsid w:val="000D4B9C"/>
    <w:rsid w:val="000D4EB6"/>
    <w:rsid w:val="000D753B"/>
    <w:rsid w:val="000E4C9E"/>
    <w:rsid w:val="000E6FD7"/>
    <w:rsid w:val="000F06E1"/>
    <w:rsid w:val="000F0E3C"/>
    <w:rsid w:val="000F19D5"/>
    <w:rsid w:val="000F2E41"/>
    <w:rsid w:val="000F4AEA"/>
    <w:rsid w:val="000F6501"/>
    <w:rsid w:val="000F67E9"/>
    <w:rsid w:val="001016A7"/>
    <w:rsid w:val="00104926"/>
    <w:rsid w:val="00113B1E"/>
    <w:rsid w:val="0011711C"/>
    <w:rsid w:val="00124E4F"/>
    <w:rsid w:val="001260B7"/>
    <w:rsid w:val="001265CB"/>
    <w:rsid w:val="001321C6"/>
    <w:rsid w:val="001325C4"/>
    <w:rsid w:val="00133010"/>
    <w:rsid w:val="001337A1"/>
    <w:rsid w:val="001338EE"/>
    <w:rsid w:val="00133AAE"/>
    <w:rsid w:val="00135323"/>
    <w:rsid w:val="001356C4"/>
    <w:rsid w:val="00141114"/>
    <w:rsid w:val="00142969"/>
    <w:rsid w:val="001457E7"/>
    <w:rsid w:val="00145D9D"/>
    <w:rsid w:val="00146388"/>
    <w:rsid w:val="001529E5"/>
    <w:rsid w:val="00153C7E"/>
    <w:rsid w:val="00156B25"/>
    <w:rsid w:val="00156E1A"/>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A1A53"/>
    <w:rsid w:val="001A234A"/>
    <w:rsid w:val="001B06E8"/>
    <w:rsid w:val="001B71D0"/>
    <w:rsid w:val="001B71EE"/>
    <w:rsid w:val="001C04A8"/>
    <w:rsid w:val="001C2C03"/>
    <w:rsid w:val="001C42F7"/>
    <w:rsid w:val="001C49E5"/>
    <w:rsid w:val="001C680C"/>
    <w:rsid w:val="001C7FEA"/>
    <w:rsid w:val="001D0499"/>
    <w:rsid w:val="001D0BBE"/>
    <w:rsid w:val="001D0ED4"/>
    <w:rsid w:val="001D1C53"/>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107D"/>
    <w:rsid w:val="00202AA4"/>
    <w:rsid w:val="002031F7"/>
    <w:rsid w:val="002040E6"/>
    <w:rsid w:val="0020527B"/>
    <w:rsid w:val="00210B15"/>
    <w:rsid w:val="00212109"/>
    <w:rsid w:val="002142EA"/>
    <w:rsid w:val="002204BB"/>
    <w:rsid w:val="00221B79"/>
    <w:rsid w:val="00221C6B"/>
    <w:rsid w:val="00222063"/>
    <w:rsid w:val="002253A1"/>
    <w:rsid w:val="00225CF8"/>
    <w:rsid w:val="0022794E"/>
    <w:rsid w:val="00233D64"/>
    <w:rsid w:val="0023482A"/>
    <w:rsid w:val="002359CB"/>
    <w:rsid w:val="002375D9"/>
    <w:rsid w:val="00243540"/>
    <w:rsid w:val="0024497B"/>
    <w:rsid w:val="0024515B"/>
    <w:rsid w:val="00246021"/>
    <w:rsid w:val="0024666E"/>
    <w:rsid w:val="00247F52"/>
    <w:rsid w:val="00250B25"/>
    <w:rsid w:val="00250BBE"/>
    <w:rsid w:val="0025194F"/>
    <w:rsid w:val="0026148A"/>
    <w:rsid w:val="00262696"/>
    <w:rsid w:val="002643C3"/>
    <w:rsid w:val="00264A0C"/>
    <w:rsid w:val="00267EF4"/>
    <w:rsid w:val="00270CB8"/>
    <w:rsid w:val="00272B08"/>
    <w:rsid w:val="00281BB8"/>
    <w:rsid w:val="00281E9E"/>
    <w:rsid w:val="00285170"/>
    <w:rsid w:val="00285361"/>
    <w:rsid w:val="00292D6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F44"/>
    <w:rsid w:val="002B0C40"/>
    <w:rsid w:val="002B1966"/>
    <w:rsid w:val="002B4508"/>
    <w:rsid w:val="002B5779"/>
    <w:rsid w:val="002B7332"/>
    <w:rsid w:val="002B7F51"/>
    <w:rsid w:val="002C09E7"/>
    <w:rsid w:val="002C1B28"/>
    <w:rsid w:val="002C3F07"/>
    <w:rsid w:val="002C5278"/>
    <w:rsid w:val="002C7EBB"/>
    <w:rsid w:val="002D06C1"/>
    <w:rsid w:val="002D42B5"/>
    <w:rsid w:val="002D4F1A"/>
    <w:rsid w:val="002D52CD"/>
    <w:rsid w:val="002D6EC6"/>
    <w:rsid w:val="002D79AC"/>
    <w:rsid w:val="002E039D"/>
    <w:rsid w:val="002E4D5A"/>
    <w:rsid w:val="002E6326"/>
    <w:rsid w:val="002F30E0"/>
    <w:rsid w:val="002F35E4"/>
    <w:rsid w:val="002F3636"/>
    <w:rsid w:val="002F3730"/>
    <w:rsid w:val="002F38E1"/>
    <w:rsid w:val="002F7AF6"/>
    <w:rsid w:val="00300E63"/>
    <w:rsid w:val="00302F5F"/>
    <w:rsid w:val="0030441D"/>
    <w:rsid w:val="00306063"/>
    <w:rsid w:val="00313B85"/>
    <w:rsid w:val="00314BDF"/>
    <w:rsid w:val="00315A7E"/>
    <w:rsid w:val="00317988"/>
    <w:rsid w:val="003221B4"/>
    <w:rsid w:val="00322E62"/>
    <w:rsid w:val="00324EDD"/>
    <w:rsid w:val="00336C64"/>
    <w:rsid w:val="00337162"/>
    <w:rsid w:val="0034194F"/>
    <w:rsid w:val="00344605"/>
    <w:rsid w:val="003474AA"/>
    <w:rsid w:val="00350D1D"/>
    <w:rsid w:val="00352C83"/>
    <w:rsid w:val="003615D2"/>
    <w:rsid w:val="0036429C"/>
    <w:rsid w:val="00364A53"/>
    <w:rsid w:val="003654CB"/>
    <w:rsid w:val="00365F86"/>
    <w:rsid w:val="00365F87"/>
    <w:rsid w:val="003705F4"/>
    <w:rsid w:val="00370D58"/>
    <w:rsid w:val="00371316"/>
    <w:rsid w:val="00376713"/>
    <w:rsid w:val="00381815"/>
    <w:rsid w:val="003819AF"/>
    <w:rsid w:val="003820E9"/>
    <w:rsid w:val="00382DE7"/>
    <w:rsid w:val="00384FFC"/>
    <w:rsid w:val="003872FC"/>
    <w:rsid w:val="00387ADC"/>
    <w:rsid w:val="00390020"/>
    <w:rsid w:val="003903D6"/>
    <w:rsid w:val="003906E5"/>
    <w:rsid w:val="00390EE6"/>
    <w:rsid w:val="0039118F"/>
    <w:rsid w:val="00392AD7"/>
    <w:rsid w:val="00392C1E"/>
    <w:rsid w:val="003938D9"/>
    <w:rsid w:val="00394376"/>
    <w:rsid w:val="003943FF"/>
    <w:rsid w:val="00396567"/>
    <w:rsid w:val="003974EB"/>
    <w:rsid w:val="00397CC5"/>
    <w:rsid w:val="003A1582"/>
    <w:rsid w:val="003A37E8"/>
    <w:rsid w:val="003A4077"/>
    <w:rsid w:val="003B09AD"/>
    <w:rsid w:val="003B1F18"/>
    <w:rsid w:val="003B5BF0"/>
    <w:rsid w:val="003B60BF"/>
    <w:rsid w:val="003B6BE3"/>
    <w:rsid w:val="003C010C"/>
    <w:rsid w:val="003C0A6C"/>
    <w:rsid w:val="003C5A43"/>
    <w:rsid w:val="003D0519"/>
    <w:rsid w:val="003D0FF6"/>
    <w:rsid w:val="003D262C"/>
    <w:rsid w:val="003D6D61"/>
    <w:rsid w:val="003E091D"/>
    <w:rsid w:val="003E1C53"/>
    <w:rsid w:val="003E2A69"/>
    <w:rsid w:val="003E2D49"/>
    <w:rsid w:val="003E2FD4"/>
    <w:rsid w:val="003E49F6"/>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47D3"/>
    <w:rsid w:val="00435DF7"/>
    <w:rsid w:val="0044083F"/>
    <w:rsid w:val="00441AE7"/>
    <w:rsid w:val="00445574"/>
    <w:rsid w:val="004467FB"/>
    <w:rsid w:val="00452D6B"/>
    <w:rsid w:val="00454484"/>
    <w:rsid w:val="0045517B"/>
    <w:rsid w:val="00462D63"/>
    <w:rsid w:val="00463B77"/>
    <w:rsid w:val="00463C7B"/>
    <w:rsid w:val="004644A6"/>
    <w:rsid w:val="004659BD"/>
    <w:rsid w:val="00470775"/>
    <w:rsid w:val="004746B1"/>
    <w:rsid w:val="0047583F"/>
    <w:rsid w:val="00484936"/>
    <w:rsid w:val="00485C89"/>
    <w:rsid w:val="00486BE3"/>
    <w:rsid w:val="004905E4"/>
    <w:rsid w:val="00490A89"/>
    <w:rsid w:val="00490AB4"/>
    <w:rsid w:val="00492F02"/>
    <w:rsid w:val="004939AE"/>
    <w:rsid w:val="004A12DF"/>
    <w:rsid w:val="004A1BA8"/>
    <w:rsid w:val="004A4B57"/>
    <w:rsid w:val="004A63FA"/>
    <w:rsid w:val="004B2701"/>
    <w:rsid w:val="004B2E1B"/>
    <w:rsid w:val="004B3E93"/>
    <w:rsid w:val="004B6B52"/>
    <w:rsid w:val="004C1FBC"/>
    <w:rsid w:val="004C3F1D"/>
    <w:rsid w:val="004C458D"/>
    <w:rsid w:val="004C7556"/>
    <w:rsid w:val="004C7E9D"/>
    <w:rsid w:val="004C7F67"/>
    <w:rsid w:val="004D076D"/>
    <w:rsid w:val="004D0EF1"/>
    <w:rsid w:val="004D2253"/>
    <w:rsid w:val="004D4406"/>
    <w:rsid w:val="004D6A38"/>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4DF9"/>
    <w:rsid w:val="00516088"/>
    <w:rsid w:val="00516B0B"/>
    <w:rsid w:val="005220EC"/>
    <w:rsid w:val="00523461"/>
    <w:rsid w:val="00523F95"/>
    <w:rsid w:val="00524D65"/>
    <w:rsid w:val="00525B16"/>
    <w:rsid w:val="00533D04"/>
    <w:rsid w:val="00534804"/>
    <w:rsid w:val="00534BDF"/>
    <w:rsid w:val="005354EA"/>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262"/>
    <w:rsid w:val="00585408"/>
    <w:rsid w:val="00586630"/>
    <w:rsid w:val="00587ADD"/>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7881"/>
    <w:rsid w:val="005E78E0"/>
    <w:rsid w:val="005F0D9C"/>
    <w:rsid w:val="005F284E"/>
    <w:rsid w:val="006002B2"/>
    <w:rsid w:val="006015CE"/>
    <w:rsid w:val="00604784"/>
    <w:rsid w:val="00606419"/>
    <w:rsid w:val="00607D29"/>
    <w:rsid w:val="006128A0"/>
    <w:rsid w:val="00612952"/>
    <w:rsid w:val="00614CC1"/>
    <w:rsid w:val="00615A9D"/>
    <w:rsid w:val="006162BE"/>
    <w:rsid w:val="00616BBB"/>
    <w:rsid w:val="00617387"/>
    <w:rsid w:val="006252D8"/>
    <w:rsid w:val="006259BC"/>
    <w:rsid w:val="0062636B"/>
    <w:rsid w:val="00626922"/>
    <w:rsid w:val="00632182"/>
    <w:rsid w:val="00632AE0"/>
    <w:rsid w:val="00633C17"/>
    <w:rsid w:val="00636E3E"/>
    <w:rsid w:val="006379F7"/>
    <w:rsid w:val="00637E4D"/>
    <w:rsid w:val="00640620"/>
    <w:rsid w:val="00641A1F"/>
    <w:rsid w:val="00645904"/>
    <w:rsid w:val="00651ACB"/>
    <w:rsid w:val="00651C47"/>
    <w:rsid w:val="00652AB2"/>
    <w:rsid w:val="00654EC0"/>
    <w:rsid w:val="0065525B"/>
    <w:rsid w:val="00655D4F"/>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1079"/>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E5DEE"/>
    <w:rsid w:val="006F03A8"/>
    <w:rsid w:val="006F0ED7"/>
    <w:rsid w:val="006F2ACA"/>
    <w:rsid w:val="006F2ADC"/>
    <w:rsid w:val="006F2BFE"/>
    <w:rsid w:val="006F31E9"/>
    <w:rsid w:val="006F391D"/>
    <w:rsid w:val="006F6284"/>
    <w:rsid w:val="007002C5"/>
    <w:rsid w:val="00704387"/>
    <w:rsid w:val="007052B2"/>
    <w:rsid w:val="00707669"/>
    <w:rsid w:val="00711CBA"/>
    <w:rsid w:val="00711FB5"/>
    <w:rsid w:val="00712A01"/>
    <w:rsid w:val="00714F58"/>
    <w:rsid w:val="00722FBF"/>
    <w:rsid w:val="00722FC2"/>
    <w:rsid w:val="00725949"/>
    <w:rsid w:val="00727FA2"/>
    <w:rsid w:val="007322D9"/>
    <w:rsid w:val="00732BC0"/>
    <w:rsid w:val="007366E5"/>
    <w:rsid w:val="0073720F"/>
    <w:rsid w:val="00737796"/>
    <w:rsid w:val="0074165C"/>
    <w:rsid w:val="007432CA"/>
    <w:rsid w:val="007439EB"/>
    <w:rsid w:val="00743CB4"/>
    <w:rsid w:val="00743F0A"/>
    <w:rsid w:val="007444E8"/>
    <w:rsid w:val="0074548E"/>
    <w:rsid w:val="00745773"/>
    <w:rsid w:val="00746800"/>
    <w:rsid w:val="007501A8"/>
    <w:rsid w:val="00750EE1"/>
    <w:rsid w:val="00752B4D"/>
    <w:rsid w:val="00755402"/>
    <w:rsid w:val="00756B26"/>
    <w:rsid w:val="00756EDF"/>
    <w:rsid w:val="007609A2"/>
    <w:rsid w:val="00765C43"/>
    <w:rsid w:val="00765EFB"/>
    <w:rsid w:val="007671CA"/>
    <w:rsid w:val="00767C61"/>
    <w:rsid w:val="0077008A"/>
    <w:rsid w:val="00773C1F"/>
    <w:rsid w:val="00774DA4"/>
    <w:rsid w:val="00776599"/>
    <w:rsid w:val="00777B6D"/>
    <w:rsid w:val="0078114B"/>
    <w:rsid w:val="00781DD2"/>
    <w:rsid w:val="00783ECF"/>
    <w:rsid w:val="0078413A"/>
    <w:rsid w:val="00790CA3"/>
    <w:rsid w:val="00790E01"/>
    <w:rsid w:val="007959E8"/>
    <w:rsid w:val="00795E9C"/>
    <w:rsid w:val="007A0521"/>
    <w:rsid w:val="007A061E"/>
    <w:rsid w:val="007A2E12"/>
    <w:rsid w:val="007A3475"/>
    <w:rsid w:val="007A41C8"/>
    <w:rsid w:val="007A54CE"/>
    <w:rsid w:val="007A6118"/>
    <w:rsid w:val="007A7FFA"/>
    <w:rsid w:val="007B04EB"/>
    <w:rsid w:val="007B0D4F"/>
    <w:rsid w:val="007B5A3D"/>
    <w:rsid w:val="007B5B95"/>
    <w:rsid w:val="007B68EA"/>
    <w:rsid w:val="007C19E8"/>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10257"/>
    <w:rsid w:val="008104F5"/>
    <w:rsid w:val="00811072"/>
    <w:rsid w:val="00811369"/>
    <w:rsid w:val="00814E50"/>
    <w:rsid w:val="00815419"/>
    <w:rsid w:val="008163C8"/>
    <w:rsid w:val="00817325"/>
    <w:rsid w:val="008209E6"/>
    <w:rsid w:val="00823303"/>
    <w:rsid w:val="008233B2"/>
    <w:rsid w:val="00823A9F"/>
    <w:rsid w:val="00823C85"/>
    <w:rsid w:val="00824069"/>
    <w:rsid w:val="00825138"/>
    <w:rsid w:val="008269DD"/>
    <w:rsid w:val="00830621"/>
    <w:rsid w:val="0083348C"/>
    <w:rsid w:val="008373D3"/>
    <w:rsid w:val="00840617"/>
    <w:rsid w:val="00842A47"/>
    <w:rsid w:val="00843C13"/>
    <w:rsid w:val="008454F8"/>
    <w:rsid w:val="00851342"/>
    <w:rsid w:val="0085173A"/>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8DC"/>
    <w:rsid w:val="00893FD1"/>
    <w:rsid w:val="00894836"/>
    <w:rsid w:val="00895172"/>
    <w:rsid w:val="00895680"/>
    <w:rsid w:val="00896DFF"/>
    <w:rsid w:val="0089762C"/>
    <w:rsid w:val="008A1561"/>
    <w:rsid w:val="008A1893"/>
    <w:rsid w:val="008A769A"/>
    <w:rsid w:val="008B0C9C"/>
    <w:rsid w:val="008B166D"/>
    <w:rsid w:val="008B17F4"/>
    <w:rsid w:val="008B3615"/>
    <w:rsid w:val="008B4AC4"/>
    <w:rsid w:val="008B50C8"/>
    <w:rsid w:val="008B5281"/>
    <w:rsid w:val="008B7E05"/>
    <w:rsid w:val="008C1797"/>
    <w:rsid w:val="008C219C"/>
    <w:rsid w:val="008C475E"/>
    <w:rsid w:val="008C619A"/>
    <w:rsid w:val="008C75C0"/>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1673D"/>
    <w:rsid w:val="00920ABC"/>
    <w:rsid w:val="009245F5"/>
    <w:rsid w:val="009249EC"/>
    <w:rsid w:val="009273B3"/>
    <w:rsid w:val="009305B5"/>
    <w:rsid w:val="00934C12"/>
    <w:rsid w:val="009429D5"/>
    <w:rsid w:val="00942BF1"/>
    <w:rsid w:val="00945180"/>
    <w:rsid w:val="00945428"/>
    <w:rsid w:val="0094607B"/>
    <w:rsid w:val="00952C52"/>
    <w:rsid w:val="00953604"/>
    <w:rsid w:val="009610DC"/>
    <w:rsid w:val="00961490"/>
    <w:rsid w:val="0096381A"/>
    <w:rsid w:val="00965E04"/>
    <w:rsid w:val="009674AD"/>
    <w:rsid w:val="0097094E"/>
    <w:rsid w:val="00970CDC"/>
    <w:rsid w:val="00977010"/>
    <w:rsid w:val="00977D02"/>
    <w:rsid w:val="009809BB"/>
    <w:rsid w:val="00982D22"/>
    <w:rsid w:val="0098364B"/>
    <w:rsid w:val="00983BF9"/>
    <w:rsid w:val="009911AF"/>
    <w:rsid w:val="00991875"/>
    <w:rsid w:val="00991F92"/>
    <w:rsid w:val="00992985"/>
    <w:rsid w:val="00993889"/>
    <w:rsid w:val="0099551B"/>
    <w:rsid w:val="00997BF1"/>
    <w:rsid w:val="009A089C"/>
    <w:rsid w:val="009A118E"/>
    <w:rsid w:val="009A21CD"/>
    <w:rsid w:val="009A278C"/>
    <w:rsid w:val="009A2BC2"/>
    <w:rsid w:val="009A3EEC"/>
    <w:rsid w:val="009A42C1"/>
    <w:rsid w:val="009A5429"/>
    <w:rsid w:val="009A72AD"/>
    <w:rsid w:val="009B09E0"/>
    <w:rsid w:val="009B0BC5"/>
    <w:rsid w:val="009B1247"/>
    <w:rsid w:val="009B6029"/>
    <w:rsid w:val="009B6971"/>
    <w:rsid w:val="009C27F1"/>
    <w:rsid w:val="009C3152"/>
    <w:rsid w:val="009C4CFA"/>
    <w:rsid w:val="009C5070"/>
    <w:rsid w:val="009D112C"/>
    <w:rsid w:val="009D47FA"/>
    <w:rsid w:val="009D50D2"/>
    <w:rsid w:val="009D6BCA"/>
    <w:rsid w:val="009D76D0"/>
    <w:rsid w:val="009E0F62"/>
    <w:rsid w:val="009E4A58"/>
    <w:rsid w:val="009E5A2D"/>
    <w:rsid w:val="009E5AB2"/>
    <w:rsid w:val="009E6219"/>
    <w:rsid w:val="009F03B3"/>
    <w:rsid w:val="00A01757"/>
    <w:rsid w:val="00A028C0"/>
    <w:rsid w:val="00A02BAE"/>
    <w:rsid w:val="00A06A6B"/>
    <w:rsid w:val="00A07E47"/>
    <w:rsid w:val="00A129D0"/>
    <w:rsid w:val="00A12C33"/>
    <w:rsid w:val="00A138BA"/>
    <w:rsid w:val="00A14C8E"/>
    <w:rsid w:val="00A153D9"/>
    <w:rsid w:val="00A15F09"/>
    <w:rsid w:val="00A169B6"/>
    <w:rsid w:val="00A2271D"/>
    <w:rsid w:val="00A236E5"/>
    <w:rsid w:val="00A237D5"/>
    <w:rsid w:val="00A24F7B"/>
    <w:rsid w:val="00A30EFC"/>
    <w:rsid w:val="00A31984"/>
    <w:rsid w:val="00A32D73"/>
    <w:rsid w:val="00A32ECE"/>
    <w:rsid w:val="00A3367B"/>
    <w:rsid w:val="00A3597D"/>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8747B"/>
    <w:rsid w:val="00A9295B"/>
    <w:rsid w:val="00A93B09"/>
    <w:rsid w:val="00A952D7"/>
    <w:rsid w:val="00A95595"/>
    <w:rsid w:val="00A963F7"/>
    <w:rsid w:val="00A96AD8"/>
    <w:rsid w:val="00AA052C"/>
    <w:rsid w:val="00AA1E45"/>
    <w:rsid w:val="00AA2A24"/>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2278"/>
    <w:rsid w:val="00AD3367"/>
    <w:rsid w:val="00AD4126"/>
    <w:rsid w:val="00AD421C"/>
    <w:rsid w:val="00AD44FA"/>
    <w:rsid w:val="00AE070A"/>
    <w:rsid w:val="00AE101C"/>
    <w:rsid w:val="00AF0C18"/>
    <w:rsid w:val="00AF47C5"/>
    <w:rsid w:val="00AF5398"/>
    <w:rsid w:val="00B049AF"/>
    <w:rsid w:val="00B07242"/>
    <w:rsid w:val="00B10534"/>
    <w:rsid w:val="00B113DB"/>
    <w:rsid w:val="00B11D8A"/>
    <w:rsid w:val="00B12981"/>
    <w:rsid w:val="00B147DD"/>
    <w:rsid w:val="00B156FD"/>
    <w:rsid w:val="00B21F61"/>
    <w:rsid w:val="00B23045"/>
    <w:rsid w:val="00B261F1"/>
    <w:rsid w:val="00B265BC"/>
    <w:rsid w:val="00B31FB1"/>
    <w:rsid w:val="00B33952"/>
    <w:rsid w:val="00B33C5E"/>
    <w:rsid w:val="00B342F4"/>
    <w:rsid w:val="00B34369"/>
    <w:rsid w:val="00B34DC2"/>
    <w:rsid w:val="00B3590F"/>
    <w:rsid w:val="00B378E5"/>
    <w:rsid w:val="00B4346D"/>
    <w:rsid w:val="00B440F4"/>
    <w:rsid w:val="00B447A5"/>
    <w:rsid w:val="00B4654C"/>
    <w:rsid w:val="00B47293"/>
    <w:rsid w:val="00B52120"/>
    <w:rsid w:val="00B54ABC"/>
    <w:rsid w:val="00B56FBE"/>
    <w:rsid w:val="00B62B58"/>
    <w:rsid w:val="00B65149"/>
    <w:rsid w:val="00B66567"/>
    <w:rsid w:val="00B66F52"/>
    <w:rsid w:val="00B66FE5"/>
    <w:rsid w:val="00B675B7"/>
    <w:rsid w:val="00B72880"/>
    <w:rsid w:val="00B758BF"/>
    <w:rsid w:val="00B827A6"/>
    <w:rsid w:val="00B831CE"/>
    <w:rsid w:val="00B86677"/>
    <w:rsid w:val="00B87131"/>
    <w:rsid w:val="00B9127B"/>
    <w:rsid w:val="00B91566"/>
    <w:rsid w:val="00B92D45"/>
    <w:rsid w:val="00B9320C"/>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330A"/>
    <w:rsid w:val="00BD52D7"/>
    <w:rsid w:val="00BD5AD2"/>
    <w:rsid w:val="00BD6082"/>
    <w:rsid w:val="00BE22F3"/>
    <w:rsid w:val="00BE49EE"/>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14D87"/>
    <w:rsid w:val="00C21540"/>
    <w:rsid w:val="00C21906"/>
    <w:rsid w:val="00C21BFA"/>
    <w:rsid w:val="00C24C8D"/>
    <w:rsid w:val="00C25FE2"/>
    <w:rsid w:val="00C26B53"/>
    <w:rsid w:val="00C279B2"/>
    <w:rsid w:val="00C33E50"/>
    <w:rsid w:val="00C34C20"/>
    <w:rsid w:val="00C35A3E"/>
    <w:rsid w:val="00C42130"/>
    <w:rsid w:val="00C423A4"/>
    <w:rsid w:val="00C44BF5"/>
    <w:rsid w:val="00C55232"/>
    <w:rsid w:val="00C553A4"/>
    <w:rsid w:val="00C55A06"/>
    <w:rsid w:val="00C55D03"/>
    <w:rsid w:val="00C601BC"/>
    <w:rsid w:val="00C6329F"/>
    <w:rsid w:val="00C63340"/>
    <w:rsid w:val="00C643F9"/>
    <w:rsid w:val="00C64E95"/>
    <w:rsid w:val="00C655FD"/>
    <w:rsid w:val="00C71372"/>
    <w:rsid w:val="00C72410"/>
    <w:rsid w:val="00C7287F"/>
    <w:rsid w:val="00C72F0E"/>
    <w:rsid w:val="00C80CB8"/>
    <w:rsid w:val="00C819F8"/>
    <w:rsid w:val="00C8248C"/>
    <w:rsid w:val="00C83864"/>
    <w:rsid w:val="00C84E33"/>
    <w:rsid w:val="00C86D6F"/>
    <w:rsid w:val="00C905FC"/>
    <w:rsid w:val="00C92D03"/>
    <w:rsid w:val="00C9319C"/>
    <w:rsid w:val="00C9435D"/>
    <w:rsid w:val="00C9517F"/>
    <w:rsid w:val="00C96741"/>
    <w:rsid w:val="00CA2D1B"/>
    <w:rsid w:val="00CA43F7"/>
    <w:rsid w:val="00CA482B"/>
    <w:rsid w:val="00CA662A"/>
    <w:rsid w:val="00CA7AFD"/>
    <w:rsid w:val="00CA7C3C"/>
    <w:rsid w:val="00CB0189"/>
    <w:rsid w:val="00CB0BA2"/>
    <w:rsid w:val="00CB1A42"/>
    <w:rsid w:val="00CB1B0C"/>
    <w:rsid w:val="00CB2C0B"/>
    <w:rsid w:val="00CB517D"/>
    <w:rsid w:val="00CC038D"/>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44B1"/>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32719"/>
    <w:rsid w:val="00D33333"/>
    <w:rsid w:val="00D352A2"/>
    <w:rsid w:val="00D40A83"/>
    <w:rsid w:val="00D4162B"/>
    <w:rsid w:val="00D4514F"/>
    <w:rsid w:val="00D451E2"/>
    <w:rsid w:val="00D4545E"/>
    <w:rsid w:val="00D45E89"/>
    <w:rsid w:val="00D45E8D"/>
    <w:rsid w:val="00D466AE"/>
    <w:rsid w:val="00D4734F"/>
    <w:rsid w:val="00D51BF3"/>
    <w:rsid w:val="00D63276"/>
    <w:rsid w:val="00D66846"/>
    <w:rsid w:val="00D675FB"/>
    <w:rsid w:val="00D71F25"/>
    <w:rsid w:val="00D77031"/>
    <w:rsid w:val="00D84941"/>
    <w:rsid w:val="00D84FA1"/>
    <w:rsid w:val="00D851F0"/>
    <w:rsid w:val="00D86DB7"/>
    <w:rsid w:val="00D926D0"/>
    <w:rsid w:val="00D93030"/>
    <w:rsid w:val="00D950E1"/>
    <w:rsid w:val="00D952A6"/>
    <w:rsid w:val="00D97F99"/>
    <w:rsid w:val="00DA19E7"/>
    <w:rsid w:val="00DA1E08"/>
    <w:rsid w:val="00DA24F8"/>
    <w:rsid w:val="00DA28E8"/>
    <w:rsid w:val="00DA38D3"/>
    <w:rsid w:val="00DA3932"/>
    <w:rsid w:val="00DA64F8"/>
    <w:rsid w:val="00DA6C15"/>
    <w:rsid w:val="00DA7370"/>
    <w:rsid w:val="00DB38EE"/>
    <w:rsid w:val="00DB498B"/>
    <w:rsid w:val="00DB66CA"/>
    <w:rsid w:val="00DB6BCA"/>
    <w:rsid w:val="00DC0321"/>
    <w:rsid w:val="00DC3067"/>
    <w:rsid w:val="00DC370B"/>
    <w:rsid w:val="00DC5B90"/>
    <w:rsid w:val="00DD00F2"/>
    <w:rsid w:val="00DD00FF"/>
    <w:rsid w:val="00DD0619"/>
    <w:rsid w:val="00DD07FB"/>
    <w:rsid w:val="00DD25C6"/>
    <w:rsid w:val="00DD54B0"/>
    <w:rsid w:val="00DD57EE"/>
    <w:rsid w:val="00DD6BCC"/>
    <w:rsid w:val="00DE0A4B"/>
    <w:rsid w:val="00DE2410"/>
    <w:rsid w:val="00DE2939"/>
    <w:rsid w:val="00DE51F0"/>
    <w:rsid w:val="00DE6AD7"/>
    <w:rsid w:val="00DE6E81"/>
    <w:rsid w:val="00DE703F"/>
    <w:rsid w:val="00DE7595"/>
    <w:rsid w:val="00DF15BE"/>
    <w:rsid w:val="00DF1961"/>
    <w:rsid w:val="00DF44DE"/>
    <w:rsid w:val="00E01138"/>
    <w:rsid w:val="00E02DFB"/>
    <w:rsid w:val="00E030F9"/>
    <w:rsid w:val="00E0311A"/>
    <w:rsid w:val="00E03138"/>
    <w:rsid w:val="00E06404"/>
    <w:rsid w:val="00E11A85"/>
    <w:rsid w:val="00E12312"/>
    <w:rsid w:val="00E12495"/>
    <w:rsid w:val="00E15CCD"/>
    <w:rsid w:val="00E202EF"/>
    <w:rsid w:val="00E20878"/>
    <w:rsid w:val="00E210B5"/>
    <w:rsid w:val="00E2552F"/>
    <w:rsid w:val="00E25FC3"/>
    <w:rsid w:val="00E3137A"/>
    <w:rsid w:val="00E32CCF"/>
    <w:rsid w:val="00E34A98"/>
    <w:rsid w:val="00E35D1E"/>
    <w:rsid w:val="00E364F9"/>
    <w:rsid w:val="00E365FA"/>
    <w:rsid w:val="00E40C94"/>
    <w:rsid w:val="00E44A83"/>
    <w:rsid w:val="00E502C1"/>
    <w:rsid w:val="00E502DD"/>
    <w:rsid w:val="00E50D3A"/>
    <w:rsid w:val="00E51387"/>
    <w:rsid w:val="00E51E68"/>
    <w:rsid w:val="00E52EFD"/>
    <w:rsid w:val="00E5408A"/>
    <w:rsid w:val="00E56800"/>
    <w:rsid w:val="00E60CD7"/>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1679"/>
    <w:rsid w:val="00EA58D1"/>
    <w:rsid w:val="00EA61BC"/>
    <w:rsid w:val="00EA681A"/>
    <w:rsid w:val="00EA735B"/>
    <w:rsid w:val="00EB1E69"/>
    <w:rsid w:val="00EB2086"/>
    <w:rsid w:val="00EB5EDF"/>
    <w:rsid w:val="00EB60FE"/>
    <w:rsid w:val="00EB74DB"/>
    <w:rsid w:val="00EC5359"/>
    <w:rsid w:val="00EC562A"/>
    <w:rsid w:val="00ED067A"/>
    <w:rsid w:val="00ED2B50"/>
    <w:rsid w:val="00EE0350"/>
    <w:rsid w:val="00EE0719"/>
    <w:rsid w:val="00EE0E80"/>
    <w:rsid w:val="00EE613F"/>
    <w:rsid w:val="00EE7295"/>
    <w:rsid w:val="00EE7869"/>
    <w:rsid w:val="00EF054A"/>
    <w:rsid w:val="00EF3235"/>
    <w:rsid w:val="00EF5820"/>
    <w:rsid w:val="00EF7E72"/>
    <w:rsid w:val="00F06D37"/>
    <w:rsid w:val="00F07B9D"/>
    <w:rsid w:val="00F11586"/>
    <w:rsid w:val="00F1183B"/>
    <w:rsid w:val="00F11C9F"/>
    <w:rsid w:val="00F12263"/>
    <w:rsid w:val="00F1409D"/>
    <w:rsid w:val="00F14214"/>
    <w:rsid w:val="00F146BD"/>
    <w:rsid w:val="00F157A9"/>
    <w:rsid w:val="00F25BB6"/>
    <w:rsid w:val="00F26B7E"/>
    <w:rsid w:val="00F27A3B"/>
    <w:rsid w:val="00F33817"/>
    <w:rsid w:val="00F420D5"/>
    <w:rsid w:val="00F451EA"/>
    <w:rsid w:val="00F45447"/>
    <w:rsid w:val="00F456C6"/>
    <w:rsid w:val="00F4577B"/>
    <w:rsid w:val="00F46496"/>
    <w:rsid w:val="00F474D0"/>
    <w:rsid w:val="00F50179"/>
    <w:rsid w:val="00F56511"/>
    <w:rsid w:val="00F6194E"/>
    <w:rsid w:val="00F623AC"/>
    <w:rsid w:val="00F6412A"/>
    <w:rsid w:val="00F65893"/>
    <w:rsid w:val="00F66A4A"/>
    <w:rsid w:val="00F71E22"/>
    <w:rsid w:val="00F72142"/>
    <w:rsid w:val="00F72AE7"/>
    <w:rsid w:val="00F84934"/>
    <w:rsid w:val="00F84FD0"/>
    <w:rsid w:val="00F859A8"/>
    <w:rsid w:val="00F9108B"/>
    <w:rsid w:val="00F91349"/>
    <w:rsid w:val="00F93A8A"/>
    <w:rsid w:val="00F95248"/>
    <w:rsid w:val="00F956A9"/>
    <w:rsid w:val="00F963ED"/>
    <w:rsid w:val="00F966CF"/>
    <w:rsid w:val="00F96CAE"/>
    <w:rsid w:val="00F97C99"/>
    <w:rsid w:val="00FA662D"/>
    <w:rsid w:val="00FA73B1"/>
    <w:rsid w:val="00FB0CB9"/>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4BCE"/>
    <w:rsid w:val="00FE54AE"/>
    <w:rsid w:val="00FE576A"/>
    <w:rsid w:val="00FE61CF"/>
    <w:rsid w:val="00FE7E79"/>
    <w:rsid w:val="00FF2CC9"/>
    <w:rsid w:val="00FF3E7D"/>
    <w:rsid w:val="00FF5B99"/>
    <w:rsid w:val="00FF730C"/>
    <w:rsid w:val="00FF73F4"/>
    <w:rsid w:val="00FF7CE4"/>
    <w:rsid w:val="00FF7E39"/>
    <w:rsid w:val="01064031"/>
    <w:rsid w:val="01CE5D05"/>
    <w:rsid w:val="033D536A"/>
    <w:rsid w:val="03E855BF"/>
    <w:rsid w:val="044E498E"/>
    <w:rsid w:val="04C74740"/>
    <w:rsid w:val="04C904B8"/>
    <w:rsid w:val="05923893"/>
    <w:rsid w:val="05BA474E"/>
    <w:rsid w:val="05F96B7B"/>
    <w:rsid w:val="064F2C3F"/>
    <w:rsid w:val="07414C7E"/>
    <w:rsid w:val="07A86AAB"/>
    <w:rsid w:val="08626C5A"/>
    <w:rsid w:val="08F663A2"/>
    <w:rsid w:val="08FB2C0B"/>
    <w:rsid w:val="098B21E0"/>
    <w:rsid w:val="09C26B8B"/>
    <w:rsid w:val="0A433C78"/>
    <w:rsid w:val="0A7113D6"/>
    <w:rsid w:val="0ABA508A"/>
    <w:rsid w:val="0AE83751"/>
    <w:rsid w:val="0B237943"/>
    <w:rsid w:val="0C4C5C29"/>
    <w:rsid w:val="0C590F18"/>
    <w:rsid w:val="0CCC47D9"/>
    <w:rsid w:val="0D724D63"/>
    <w:rsid w:val="0DE10274"/>
    <w:rsid w:val="0F9F69E6"/>
    <w:rsid w:val="10A36062"/>
    <w:rsid w:val="111E3700"/>
    <w:rsid w:val="114333A1"/>
    <w:rsid w:val="11DE546D"/>
    <w:rsid w:val="12555A81"/>
    <w:rsid w:val="12564A7C"/>
    <w:rsid w:val="12AD33CD"/>
    <w:rsid w:val="13293B90"/>
    <w:rsid w:val="13963C5C"/>
    <w:rsid w:val="14074B59"/>
    <w:rsid w:val="14144585"/>
    <w:rsid w:val="144356E7"/>
    <w:rsid w:val="154D47EE"/>
    <w:rsid w:val="17316E86"/>
    <w:rsid w:val="1818352B"/>
    <w:rsid w:val="18C306FC"/>
    <w:rsid w:val="19507485"/>
    <w:rsid w:val="199450E1"/>
    <w:rsid w:val="19A31463"/>
    <w:rsid w:val="1A0B1C7C"/>
    <w:rsid w:val="1AA50C28"/>
    <w:rsid w:val="1B730995"/>
    <w:rsid w:val="1C5E6D88"/>
    <w:rsid w:val="1CD22F7D"/>
    <w:rsid w:val="1D293D92"/>
    <w:rsid w:val="1D853A61"/>
    <w:rsid w:val="1D970CFC"/>
    <w:rsid w:val="1DE72245"/>
    <w:rsid w:val="1E2A1B70"/>
    <w:rsid w:val="1FFC0927"/>
    <w:rsid w:val="20250841"/>
    <w:rsid w:val="20F546B7"/>
    <w:rsid w:val="21E85D1E"/>
    <w:rsid w:val="22356D36"/>
    <w:rsid w:val="226C301E"/>
    <w:rsid w:val="229C1B6E"/>
    <w:rsid w:val="230909BA"/>
    <w:rsid w:val="23F46EA8"/>
    <w:rsid w:val="252235A1"/>
    <w:rsid w:val="26D23FB3"/>
    <w:rsid w:val="275E733D"/>
    <w:rsid w:val="276854B7"/>
    <w:rsid w:val="282466E1"/>
    <w:rsid w:val="292F0982"/>
    <w:rsid w:val="295108F9"/>
    <w:rsid w:val="2A8970BC"/>
    <w:rsid w:val="2C3075D9"/>
    <w:rsid w:val="2C366AB3"/>
    <w:rsid w:val="2D460049"/>
    <w:rsid w:val="2DD83062"/>
    <w:rsid w:val="2E20089A"/>
    <w:rsid w:val="2E245F87"/>
    <w:rsid w:val="2F653D5F"/>
    <w:rsid w:val="2FC06F75"/>
    <w:rsid w:val="307F7AFA"/>
    <w:rsid w:val="30E50485"/>
    <w:rsid w:val="318F0210"/>
    <w:rsid w:val="32252FA8"/>
    <w:rsid w:val="322767CF"/>
    <w:rsid w:val="32AA5062"/>
    <w:rsid w:val="338B4409"/>
    <w:rsid w:val="33DD6947"/>
    <w:rsid w:val="33FB4EEF"/>
    <w:rsid w:val="349F0B4A"/>
    <w:rsid w:val="34D36666"/>
    <w:rsid w:val="36C66D6E"/>
    <w:rsid w:val="37031712"/>
    <w:rsid w:val="3724008B"/>
    <w:rsid w:val="381C6576"/>
    <w:rsid w:val="38991974"/>
    <w:rsid w:val="390D64D8"/>
    <w:rsid w:val="3A340B0B"/>
    <w:rsid w:val="3AB962FE"/>
    <w:rsid w:val="3AC14675"/>
    <w:rsid w:val="3AC5600A"/>
    <w:rsid w:val="3AC802EF"/>
    <w:rsid w:val="3CAB7EC8"/>
    <w:rsid w:val="3CB91AA9"/>
    <w:rsid w:val="3CF7678E"/>
    <w:rsid w:val="3D3A2E51"/>
    <w:rsid w:val="3D4A161A"/>
    <w:rsid w:val="3DF0123C"/>
    <w:rsid w:val="3E5F1738"/>
    <w:rsid w:val="4052194D"/>
    <w:rsid w:val="413642B0"/>
    <w:rsid w:val="42167C36"/>
    <w:rsid w:val="423D15C3"/>
    <w:rsid w:val="42703746"/>
    <w:rsid w:val="42D16C95"/>
    <w:rsid w:val="42FF4ACA"/>
    <w:rsid w:val="436533AE"/>
    <w:rsid w:val="43B458B4"/>
    <w:rsid w:val="43F74836"/>
    <w:rsid w:val="443469F5"/>
    <w:rsid w:val="44C45FCB"/>
    <w:rsid w:val="45433000"/>
    <w:rsid w:val="456357E4"/>
    <w:rsid w:val="45C444FC"/>
    <w:rsid w:val="45E32481"/>
    <w:rsid w:val="461F1D0E"/>
    <w:rsid w:val="463B406B"/>
    <w:rsid w:val="468860C6"/>
    <w:rsid w:val="46D5626E"/>
    <w:rsid w:val="476D1EFD"/>
    <w:rsid w:val="478F28C0"/>
    <w:rsid w:val="47C06F1E"/>
    <w:rsid w:val="49C032DE"/>
    <w:rsid w:val="4A03678A"/>
    <w:rsid w:val="4AAF15F0"/>
    <w:rsid w:val="4AFE68A6"/>
    <w:rsid w:val="4B044BD9"/>
    <w:rsid w:val="4B747A79"/>
    <w:rsid w:val="4BB83589"/>
    <w:rsid w:val="4BBB0D3C"/>
    <w:rsid w:val="4BCD7E5B"/>
    <w:rsid w:val="4C2B7D90"/>
    <w:rsid w:val="4CB6115A"/>
    <w:rsid w:val="4D881894"/>
    <w:rsid w:val="4D9B019C"/>
    <w:rsid w:val="4E896D65"/>
    <w:rsid w:val="4EDD03B5"/>
    <w:rsid w:val="4EED3F2E"/>
    <w:rsid w:val="4FFA682C"/>
    <w:rsid w:val="510559A1"/>
    <w:rsid w:val="51414393"/>
    <w:rsid w:val="518C0325"/>
    <w:rsid w:val="52035465"/>
    <w:rsid w:val="52065E75"/>
    <w:rsid w:val="52592449"/>
    <w:rsid w:val="526D37FE"/>
    <w:rsid w:val="5294522F"/>
    <w:rsid w:val="52E8648C"/>
    <w:rsid w:val="544E3124"/>
    <w:rsid w:val="54BE47E5"/>
    <w:rsid w:val="54E12281"/>
    <w:rsid w:val="55572544"/>
    <w:rsid w:val="556E5844"/>
    <w:rsid w:val="55AE4859"/>
    <w:rsid w:val="55DC16AB"/>
    <w:rsid w:val="55E738C7"/>
    <w:rsid w:val="57020864"/>
    <w:rsid w:val="57064221"/>
    <w:rsid w:val="583516DB"/>
    <w:rsid w:val="58A01387"/>
    <w:rsid w:val="592129FC"/>
    <w:rsid w:val="5935134A"/>
    <w:rsid w:val="595402B8"/>
    <w:rsid w:val="59EC76FE"/>
    <w:rsid w:val="59FB2037"/>
    <w:rsid w:val="5A8A7E27"/>
    <w:rsid w:val="5B262762"/>
    <w:rsid w:val="5BA14F77"/>
    <w:rsid w:val="5C0F5926"/>
    <w:rsid w:val="5C632C84"/>
    <w:rsid w:val="5C797243"/>
    <w:rsid w:val="5E8A29AE"/>
    <w:rsid w:val="5EEC64E0"/>
    <w:rsid w:val="5F5A484A"/>
    <w:rsid w:val="5F5D4BFA"/>
    <w:rsid w:val="5FC372CE"/>
    <w:rsid w:val="603040BD"/>
    <w:rsid w:val="60FA6BA5"/>
    <w:rsid w:val="61A42FB4"/>
    <w:rsid w:val="61BD7081"/>
    <w:rsid w:val="62071CDA"/>
    <w:rsid w:val="620C2EBB"/>
    <w:rsid w:val="621D32DF"/>
    <w:rsid w:val="625A457B"/>
    <w:rsid w:val="62F33AF7"/>
    <w:rsid w:val="630F26B0"/>
    <w:rsid w:val="63F47F74"/>
    <w:rsid w:val="644F0FB6"/>
    <w:rsid w:val="64851539"/>
    <w:rsid w:val="6494005C"/>
    <w:rsid w:val="66AB2A9B"/>
    <w:rsid w:val="678E6299"/>
    <w:rsid w:val="67D4468E"/>
    <w:rsid w:val="685E5C6B"/>
    <w:rsid w:val="6872529F"/>
    <w:rsid w:val="688B2364"/>
    <w:rsid w:val="689B6EBF"/>
    <w:rsid w:val="693469CC"/>
    <w:rsid w:val="69A0117F"/>
    <w:rsid w:val="6B343CBB"/>
    <w:rsid w:val="6C440EAF"/>
    <w:rsid w:val="6C9A748E"/>
    <w:rsid w:val="6EC7274E"/>
    <w:rsid w:val="70CB3FE1"/>
    <w:rsid w:val="70F32054"/>
    <w:rsid w:val="70FD0CB3"/>
    <w:rsid w:val="723C2CFD"/>
    <w:rsid w:val="72475FCF"/>
    <w:rsid w:val="725B6D60"/>
    <w:rsid w:val="75177596"/>
    <w:rsid w:val="755653B5"/>
    <w:rsid w:val="75A41EC1"/>
    <w:rsid w:val="76070558"/>
    <w:rsid w:val="76EA2DC0"/>
    <w:rsid w:val="775F37AE"/>
    <w:rsid w:val="778F300B"/>
    <w:rsid w:val="77EF4B32"/>
    <w:rsid w:val="7808174F"/>
    <w:rsid w:val="78B2790D"/>
    <w:rsid w:val="78C7785D"/>
    <w:rsid w:val="79B7167F"/>
    <w:rsid w:val="7A170CAD"/>
    <w:rsid w:val="7A3C7DD6"/>
    <w:rsid w:val="7A7C6E22"/>
    <w:rsid w:val="7A990D85"/>
    <w:rsid w:val="7AB076DD"/>
    <w:rsid w:val="7BC41E31"/>
    <w:rsid w:val="7C8B5ABC"/>
    <w:rsid w:val="7CB82638"/>
    <w:rsid w:val="7D4F6073"/>
    <w:rsid w:val="7E6D0D6A"/>
    <w:rsid w:val="7E730861"/>
    <w:rsid w:val="7EB51F05"/>
    <w:rsid w:val="7F1430D0"/>
    <w:rsid w:val="7FE568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6"/>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7"/>
    <w:qFormat/>
    <w:uiPriority w:val="0"/>
    <w:pPr>
      <w:keepNext/>
      <w:keepLines/>
      <w:spacing w:before="260" w:after="260" w:line="416" w:lineRule="auto"/>
      <w:outlineLvl w:val="2"/>
    </w:pPr>
    <w:rPr>
      <w:b/>
      <w:bCs/>
      <w:sz w:val="32"/>
      <w:szCs w:val="32"/>
    </w:rPr>
  </w:style>
  <w:style w:type="paragraph" w:styleId="5">
    <w:name w:val="heading 4"/>
    <w:basedOn w:val="1"/>
    <w:next w:val="1"/>
    <w:link w:val="35"/>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6"/>
    <w:qFormat/>
    <w:uiPriority w:val="0"/>
    <w:pPr>
      <w:spacing w:after="120"/>
    </w:pPr>
  </w:style>
  <w:style w:type="paragraph" w:styleId="14">
    <w:name w:val="toc 5"/>
    <w:basedOn w:val="1"/>
    <w:next w:val="1"/>
    <w:autoRedefine/>
    <w:unhideWhenUsed/>
    <w:qFormat/>
    <w:uiPriority w:val="39"/>
    <w:pPr>
      <w:ind w:left="839"/>
    </w:pPr>
    <w:rPr>
      <w:rFonts w:ascii="宋体"/>
    </w:rPr>
  </w:style>
  <w:style w:type="paragraph" w:styleId="15">
    <w:name w:val="toc 3"/>
    <w:basedOn w:val="1"/>
    <w:next w:val="1"/>
    <w:autoRedefine/>
    <w:unhideWhenUsed/>
    <w:qFormat/>
    <w:uiPriority w:val="39"/>
    <w:pPr>
      <w:spacing w:line="300" w:lineRule="exact"/>
      <w:ind w:left="420"/>
    </w:pPr>
    <w:rPr>
      <w:rFonts w:ascii="宋体"/>
    </w:rPr>
  </w:style>
  <w:style w:type="paragraph" w:styleId="16">
    <w:name w:val="Balloon Text"/>
    <w:basedOn w:val="1"/>
    <w:link w:val="45"/>
    <w:semiHidden/>
    <w:unhideWhenUsed/>
    <w:qFormat/>
    <w:uiPriority w:val="99"/>
    <w:rPr>
      <w:sz w:val="18"/>
      <w:szCs w:val="18"/>
    </w:rPr>
  </w:style>
  <w:style w:type="paragraph" w:styleId="17">
    <w:name w:val="footer"/>
    <w:basedOn w:val="1"/>
    <w:link w:val="44"/>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qFormat/>
    <w:uiPriority w:val="99"/>
    <w:pPr>
      <w:tabs>
        <w:tab w:val="center" w:pos="4153"/>
        <w:tab w:val="right" w:pos="8306"/>
      </w:tabs>
      <w:adjustRightInd/>
      <w:snapToGrid w:val="0"/>
      <w:jc w:val="center"/>
    </w:pPr>
    <w:rPr>
      <w:sz w:val="18"/>
      <w:szCs w:val="18"/>
    </w:rPr>
  </w:style>
  <w:style w:type="paragraph" w:styleId="19">
    <w:name w:val="toc 1"/>
    <w:basedOn w:val="1"/>
    <w:next w:val="1"/>
    <w:autoRedefine/>
    <w:unhideWhenUsed/>
    <w:qFormat/>
    <w:uiPriority w:val="39"/>
    <w:rPr>
      <w:rFonts w:ascii="宋体"/>
    </w:rPr>
  </w:style>
  <w:style w:type="paragraph" w:styleId="20">
    <w:name w:val="toc 4"/>
    <w:basedOn w:val="1"/>
    <w:next w:val="1"/>
    <w:autoRedefine/>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99"/>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autoRedefine/>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autoRedefine/>
    <w:unhideWhenUsed/>
    <w:qFormat/>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9">
    <w:name w:val="Strong"/>
    <w:qFormat/>
    <w:uiPriority w:val="22"/>
    <w:rPr>
      <w:b/>
      <w:bCs/>
    </w:rPr>
  </w:style>
  <w:style w:type="character" w:styleId="30">
    <w:name w:val="page number"/>
    <w:qFormat/>
    <w:uiPriority w:val="0"/>
    <w:rPr>
      <w:rFonts w:ascii="宋体" w:hAnsi="Times New Roman" w:eastAsia="宋体"/>
      <w:sz w:val="18"/>
    </w:rPr>
  </w:style>
  <w:style w:type="character" w:styleId="31">
    <w:name w:val="Emphasis"/>
    <w:qFormat/>
    <w:uiPriority w:val="20"/>
    <w:rPr>
      <w:i/>
      <w:iCs/>
    </w:rPr>
  </w:style>
  <w:style w:type="character" w:styleId="32">
    <w:name w:val="Hyperlink"/>
    <w:qFormat/>
    <w:uiPriority w:val="99"/>
    <w:rPr>
      <w:rFonts w:ascii="宋体" w:hAnsi="Times New Roman" w:eastAsia="宋体"/>
      <w:color w:val="auto"/>
      <w:spacing w:val="0"/>
      <w:w w:val="100"/>
      <w:position w:val="0"/>
      <w:sz w:val="21"/>
      <w:u w:val="none"/>
      <w:vertAlign w:val="baseline"/>
    </w:rPr>
  </w:style>
  <w:style w:type="character" w:styleId="33">
    <w:name w:val="footnote reference"/>
    <w:semiHidden/>
    <w:qFormat/>
    <w:uiPriority w:val="0"/>
    <w:rPr>
      <w:rFonts w:ascii="宋体" w:hAnsi="宋体" w:eastAsia="宋体" w:cs="Times New Roman"/>
      <w:spacing w:val="0"/>
      <w:sz w:val="18"/>
      <w:vertAlign w:val="superscript"/>
    </w:rPr>
  </w:style>
  <w:style w:type="character" w:customStyle="1" w:styleId="34">
    <w:name w:val="标题 1 Char"/>
    <w:link w:val="2"/>
    <w:qFormat/>
    <w:uiPriority w:val="0"/>
    <w:rPr>
      <w:rFonts w:ascii="Times New Roman" w:hAnsi="Times New Roman" w:eastAsia="宋体" w:cs="Times New Roman"/>
      <w:b/>
      <w:bCs/>
      <w:kern w:val="44"/>
      <w:sz w:val="44"/>
      <w:szCs w:val="44"/>
    </w:rPr>
  </w:style>
  <w:style w:type="character" w:customStyle="1" w:styleId="35">
    <w:name w:val="标题 4 Char"/>
    <w:link w:val="5"/>
    <w:qFormat/>
    <w:uiPriority w:val="0"/>
    <w:rPr>
      <w:rFonts w:ascii="Arial" w:hAnsi="Arial" w:eastAsia="黑体" w:cs="Times New Roman"/>
      <w:b/>
      <w:bCs/>
      <w:sz w:val="28"/>
      <w:szCs w:val="28"/>
    </w:rPr>
  </w:style>
  <w:style w:type="character" w:customStyle="1" w:styleId="36">
    <w:name w:val="标题 2 Char"/>
    <w:link w:val="3"/>
    <w:qFormat/>
    <w:uiPriority w:val="0"/>
    <w:rPr>
      <w:rFonts w:ascii="Arial" w:hAnsi="Arial" w:eastAsia="黑体" w:cs="Times New Roman"/>
      <w:b/>
      <w:bCs/>
      <w:sz w:val="32"/>
      <w:szCs w:val="32"/>
    </w:rPr>
  </w:style>
  <w:style w:type="character" w:customStyle="1" w:styleId="37">
    <w:name w:val="标题 3 Char"/>
    <w:link w:val="4"/>
    <w:qFormat/>
    <w:uiPriority w:val="0"/>
    <w:rPr>
      <w:rFonts w:ascii="Times New Roman" w:hAnsi="Times New Roman" w:eastAsia="宋体" w:cs="Times New Roman"/>
      <w:b/>
      <w:bCs/>
      <w:sz w:val="32"/>
      <w:szCs w:val="32"/>
    </w:rPr>
  </w:style>
  <w:style w:type="character" w:customStyle="1" w:styleId="38">
    <w:name w:val="标题 5 Char"/>
    <w:link w:val="6"/>
    <w:qFormat/>
    <w:uiPriority w:val="0"/>
    <w:rPr>
      <w:rFonts w:ascii="Times New Roman" w:hAnsi="Times New Roman" w:eastAsia="宋体" w:cs="Times New Roman"/>
      <w:b/>
      <w:bCs/>
      <w:sz w:val="28"/>
      <w:szCs w:val="28"/>
    </w:rPr>
  </w:style>
  <w:style w:type="character" w:customStyle="1" w:styleId="39">
    <w:name w:val="标题 6 Char"/>
    <w:link w:val="7"/>
    <w:qFormat/>
    <w:uiPriority w:val="0"/>
    <w:rPr>
      <w:rFonts w:ascii="Arial" w:hAnsi="Arial" w:eastAsia="黑体" w:cs="Times New Roman"/>
      <w:b/>
      <w:bCs/>
      <w:sz w:val="24"/>
      <w:szCs w:val="24"/>
    </w:rPr>
  </w:style>
  <w:style w:type="character" w:customStyle="1" w:styleId="40">
    <w:name w:val="标题 7 Char"/>
    <w:link w:val="8"/>
    <w:qFormat/>
    <w:uiPriority w:val="0"/>
    <w:rPr>
      <w:rFonts w:ascii="Times New Roman" w:hAnsi="Times New Roman" w:eastAsia="宋体" w:cs="Times New Roman"/>
      <w:b/>
      <w:bCs/>
      <w:sz w:val="24"/>
      <w:szCs w:val="24"/>
    </w:rPr>
  </w:style>
  <w:style w:type="character" w:customStyle="1" w:styleId="41">
    <w:name w:val="标题 8 Char"/>
    <w:link w:val="9"/>
    <w:qFormat/>
    <w:uiPriority w:val="0"/>
    <w:rPr>
      <w:rFonts w:ascii="Arial" w:hAnsi="Arial" w:eastAsia="黑体" w:cs="Times New Roman"/>
      <w:sz w:val="24"/>
      <w:szCs w:val="24"/>
    </w:rPr>
  </w:style>
  <w:style w:type="character" w:customStyle="1" w:styleId="42">
    <w:name w:val="标题 9 Char"/>
    <w:link w:val="10"/>
    <w:qFormat/>
    <w:uiPriority w:val="0"/>
    <w:rPr>
      <w:rFonts w:ascii="Arial" w:hAnsi="Arial" w:eastAsia="黑体" w:cs="Times New Roman"/>
      <w:szCs w:val="21"/>
    </w:rPr>
  </w:style>
  <w:style w:type="character" w:customStyle="1" w:styleId="43">
    <w:name w:val="页眉 Char"/>
    <w:link w:val="18"/>
    <w:qFormat/>
    <w:uiPriority w:val="99"/>
    <w:rPr>
      <w:rFonts w:ascii="Times New Roman" w:hAnsi="Times New Roman" w:eastAsia="宋体" w:cs="Times New Roman"/>
      <w:sz w:val="18"/>
      <w:szCs w:val="18"/>
    </w:rPr>
  </w:style>
  <w:style w:type="character" w:customStyle="1" w:styleId="44">
    <w:name w:val="页脚 Char"/>
    <w:link w:val="17"/>
    <w:qFormat/>
    <w:uiPriority w:val="99"/>
    <w:rPr>
      <w:rFonts w:ascii="宋体" w:hAnsi="Times New Roman" w:eastAsia="宋体" w:cs="Times New Roman"/>
      <w:sz w:val="18"/>
      <w:szCs w:val="18"/>
    </w:rPr>
  </w:style>
  <w:style w:type="character" w:customStyle="1" w:styleId="45">
    <w:name w:val="批注框文本 Char"/>
    <w:link w:val="16"/>
    <w:semiHidden/>
    <w:qFormat/>
    <w:uiPriority w:val="99"/>
    <w:rPr>
      <w:sz w:val="18"/>
      <w:szCs w:val="18"/>
    </w:rPr>
  </w:style>
  <w:style w:type="paragraph" w:styleId="46">
    <w:name w:val="Quote"/>
    <w:basedOn w:val="1"/>
    <w:next w:val="1"/>
    <w:link w:val="47"/>
    <w:qFormat/>
    <w:uiPriority w:val="29"/>
    <w:rPr>
      <w:i/>
      <w:iCs/>
      <w:color w:val="000000"/>
    </w:rPr>
  </w:style>
  <w:style w:type="character" w:customStyle="1" w:styleId="47">
    <w:name w:val="引用 Char"/>
    <w:link w:val="46"/>
    <w:qFormat/>
    <w:uiPriority w:val="29"/>
    <w:rPr>
      <w:i/>
      <w:iCs/>
      <w:color w:val="000000"/>
    </w:rPr>
  </w:style>
  <w:style w:type="character" w:customStyle="1" w:styleId="48">
    <w:name w:val="标题 Char"/>
    <w:link w:val="25"/>
    <w:qFormat/>
    <w:uiPriority w:val="0"/>
    <w:rPr>
      <w:rFonts w:ascii="Arial" w:hAnsi="Arial" w:eastAsia="宋体" w:cs="Arial"/>
      <w:b/>
      <w:bCs/>
      <w:sz w:val="32"/>
      <w:szCs w:val="32"/>
    </w:rPr>
  </w:style>
  <w:style w:type="paragraph" w:customStyle="1" w:styleId="49">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2">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3">
    <w:name w:val="标准书眉一"/>
    <w:qFormat/>
    <w:uiPriority w:val="0"/>
    <w:pPr>
      <w:jc w:val="both"/>
    </w:pPr>
    <w:rPr>
      <w:rFonts w:ascii="Times New Roman" w:hAnsi="Times New Roman" w:eastAsia="宋体" w:cs="Times New Roman"/>
      <w:lang w:val="en-US" w:eastAsia="zh-CN" w:bidi="ar-SA"/>
    </w:rPr>
  </w:style>
  <w:style w:type="paragraph" w:customStyle="1" w:styleId="54">
    <w:name w:val="标准文件_ICS"/>
    <w:basedOn w:val="1"/>
    <w:qFormat/>
    <w:uiPriority w:val="0"/>
    <w:pPr>
      <w:spacing w:line="0" w:lineRule="atLeast"/>
    </w:pPr>
    <w:rPr>
      <w:rFonts w:ascii="黑体" w:hAnsi="宋体" w:eastAsia="黑体"/>
    </w:rPr>
  </w:style>
  <w:style w:type="paragraph" w:customStyle="1" w:styleId="55">
    <w:name w:val="标准文件_标准正文"/>
    <w:basedOn w:val="1"/>
    <w:next w:val="56"/>
    <w:qFormat/>
    <w:uiPriority w:val="0"/>
    <w:pPr>
      <w:snapToGrid w:val="0"/>
      <w:ind w:firstLine="200" w:firstLineChars="200"/>
    </w:pPr>
    <w:rPr>
      <w:kern w:val="0"/>
    </w:rPr>
  </w:style>
  <w:style w:type="paragraph" w:customStyle="1" w:styleId="56">
    <w:name w:val="标准文件_段"/>
    <w:link w:val="184"/>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qFormat/>
    <w:uiPriority w:val="0"/>
    <w:pPr>
      <w:adjustRightInd/>
      <w:snapToGrid/>
      <w:ind w:firstLine="0" w:firstLineChars="0"/>
    </w:pPr>
    <w:rPr>
      <w:rFonts w:ascii="宋体" w:hAnsi="宋体"/>
      <w:kern w:val="2"/>
    </w:rPr>
  </w:style>
  <w:style w:type="paragraph" w:customStyle="1" w:styleId="58">
    <w:name w:val="标准文件_标准部门"/>
    <w:basedOn w:val="1"/>
    <w:qFormat/>
    <w:uiPriority w:val="0"/>
    <w:pPr>
      <w:jc w:val="center"/>
    </w:pPr>
    <w:rPr>
      <w:rFonts w:ascii="黑体" w:eastAsia="黑体"/>
      <w:kern w:val="0"/>
      <w:sz w:val="44"/>
    </w:rPr>
  </w:style>
  <w:style w:type="paragraph" w:customStyle="1" w:styleId="59">
    <w:name w:val="标准文件_标准代替"/>
    <w:basedOn w:val="1"/>
    <w:next w:val="1"/>
    <w:qFormat/>
    <w:uiPriority w:val="0"/>
    <w:pPr>
      <w:spacing w:line="310" w:lineRule="exact"/>
      <w:jc w:val="right"/>
    </w:pPr>
    <w:rPr>
      <w:rFonts w:ascii="宋体" w:hAnsi="宋体"/>
      <w:kern w:val="0"/>
    </w:rPr>
  </w:style>
  <w:style w:type="paragraph" w:customStyle="1" w:styleId="60">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qFormat/>
    <w:uiPriority w:val="0"/>
    <w:pPr>
      <w:jc w:val="left"/>
    </w:pPr>
  </w:style>
  <w:style w:type="paragraph" w:customStyle="1" w:styleId="63">
    <w:name w:val="标准文件_参考文献标题"/>
    <w:basedOn w:val="1"/>
    <w:next w:val="1"/>
    <w:qFormat/>
    <w:uiPriority w:val="0"/>
    <w:pPr>
      <w:widowControl/>
      <w:shd w:val="clear" w:color="FFFFFF" w:fill="FFFFFF"/>
      <w:adjustRightInd/>
      <w:spacing w:before="580" w:after="50" w:afterLines="50" w:line="240" w:lineRule="auto"/>
      <w:jc w:val="center"/>
      <w:outlineLvl w:val="0"/>
    </w:pPr>
    <w:rPr>
      <w:rFonts w:ascii="黑体" w:eastAsia="黑体"/>
      <w:kern w:val="0"/>
    </w:rPr>
  </w:style>
  <w:style w:type="paragraph" w:customStyle="1" w:styleId="64">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6">
    <w:name w:val="标准文件_发布"/>
    <w:qFormat/>
    <w:uiPriority w:val="0"/>
    <w:rPr>
      <w:rFonts w:ascii="黑体" w:eastAsia="黑体"/>
      <w:spacing w:val="0"/>
      <w:w w:val="100"/>
      <w:position w:val="3"/>
      <w:sz w:val="28"/>
    </w:rPr>
  </w:style>
  <w:style w:type="paragraph" w:customStyle="1" w:styleId="67">
    <w:name w:val="标准文件_方框数字列项"/>
    <w:basedOn w:val="56"/>
    <w:qFormat/>
    <w:uiPriority w:val="0"/>
    <w:pPr>
      <w:numPr>
        <w:ilvl w:val="0"/>
        <w:numId w:val="3"/>
      </w:numPr>
      <w:ind w:firstLine="0" w:firstLineChars="0"/>
    </w:pPr>
  </w:style>
  <w:style w:type="paragraph" w:customStyle="1" w:styleId="68">
    <w:name w:val="标准文件_封面标准编号"/>
    <w:basedOn w:val="1"/>
    <w:next w:val="59"/>
    <w:qFormat/>
    <w:uiPriority w:val="0"/>
    <w:pPr>
      <w:spacing w:line="310" w:lineRule="exact"/>
      <w:jc w:val="right"/>
    </w:pPr>
    <w:rPr>
      <w:rFonts w:ascii="黑体" w:eastAsia="黑体"/>
      <w:kern w:val="0"/>
      <w:sz w:val="28"/>
    </w:rPr>
  </w:style>
  <w:style w:type="paragraph" w:customStyle="1" w:styleId="69">
    <w:name w:val="标准文件_封面标准分类号"/>
    <w:basedOn w:val="1"/>
    <w:qFormat/>
    <w:uiPriority w:val="0"/>
    <w:rPr>
      <w:rFonts w:ascii="黑体" w:eastAsia="黑体"/>
      <w:b/>
      <w:kern w:val="0"/>
      <w:sz w:val="28"/>
    </w:rPr>
  </w:style>
  <w:style w:type="paragraph" w:customStyle="1" w:styleId="70">
    <w:name w:val="标准文件_封面标准名称"/>
    <w:basedOn w:val="1"/>
    <w:qFormat/>
    <w:uiPriority w:val="0"/>
    <w:pPr>
      <w:spacing w:line="240" w:lineRule="auto"/>
      <w:jc w:val="center"/>
    </w:pPr>
    <w:rPr>
      <w:rFonts w:ascii="黑体" w:eastAsia="黑体"/>
      <w:kern w:val="0"/>
      <w:sz w:val="52"/>
    </w:rPr>
  </w:style>
  <w:style w:type="paragraph" w:customStyle="1" w:styleId="71">
    <w:name w:val="标准文件_封面标准英文名称"/>
    <w:basedOn w:val="1"/>
    <w:qFormat/>
    <w:uiPriority w:val="0"/>
    <w:pPr>
      <w:spacing w:line="240" w:lineRule="auto"/>
      <w:jc w:val="center"/>
    </w:pPr>
    <w:rPr>
      <w:rFonts w:ascii="黑体" w:eastAsia="黑体"/>
      <w:b/>
      <w:sz w:val="28"/>
    </w:rPr>
  </w:style>
  <w:style w:type="paragraph" w:customStyle="1" w:styleId="72">
    <w:name w:val="标准文件_封面发布日期"/>
    <w:basedOn w:val="1"/>
    <w:qFormat/>
    <w:uiPriority w:val="0"/>
    <w:pPr>
      <w:spacing w:line="310" w:lineRule="exact"/>
    </w:pPr>
    <w:rPr>
      <w:rFonts w:ascii="黑体" w:eastAsia="黑体"/>
      <w:kern w:val="0"/>
      <w:sz w:val="28"/>
    </w:rPr>
  </w:style>
  <w:style w:type="paragraph" w:customStyle="1" w:styleId="73">
    <w:name w:val="标准文件_封面密级"/>
    <w:basedOn w:val="1"/>
    <w:qFormat/>
    <w:uiPriority w:val="0"/>
    <w:rPr>
      <w:rFonts w:eastAsia="黑体"/>
      <w:sz w:val="32"/>
    </w:rPr>
  </w:style>
  <w:style w:type="paragraph" w:customStyle="1" w:styleId="74">
    <w:name w:val="标准文件_封面实施日期"/>
    <w:basedOn w:val="1"/>
    <w:qFormat/>
    <w:uiPriority w:val="0"/>
    <w:pPr>
      <w:spacing w:line="310" w:lineRule="exact"/>
      <w:jc w:val="right"/>
    </w:pPr>
    <w:rPr>
      <w:rFonts w:ascii="黑体" w:eastAsia="黑体"/>
      <w:sz w:val="28"/>
    </w:rPr>
  </w:style>
  <w:style w:type="paragraph" w:customStyle="1" w:styleId="75">
    <w:name w:val="标准文件_封面抬头"/>
    <w:basedOn w:val="56"/>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qFormat/>
    <w:uiPriority w:val="0"/>
    <w:pPr>
      <w:numPr>
        <w:ilvl w:val="1"/>
        <w:numId w:val="5"/>
      </w:numPr>
      <w:adjustRightInd w:val="0"/>
      <w:snapToGrid w:val="0"/>
      <w:spacing w:before="50" w:beforeLines="50" w:after="50" w:afterLines="50"/>
      <w:ind w:firstLine="42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qFormat/>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qFormat/>
    <w:uiPriority w:val="0"/>
    <w:pPr>
      <w:numPr>
        <w:ilvl w:val="1"/>
        <w:numId w:val="6"/>
      </w:numPr>
      <w:adjustRightInd w:val="0"/>
      <w:snapToGrid w:val="0"/>
      <w:spacing w:before="50" w:beforeLines="50" w:after="50" w:afterLines="50"/>
      <w:ind w:firstLine="420"/>
      <w:jc w:val="center"/>
    </w:pPr>
    <w:rPr>
      <w:rFonts w:ascii="黑体" w:hAnsi="Times New Roman" w:eastAsia="黑体" w:cs="Times New Roman"/>
      <w:sz w:val="21"/>
      <w:lang w:val="en-US" w:eastAsia="zh-CN" w:bidi="ar-SA"/>
    </w:rPr>
  </w:style>
  <w:style w:type="paragraph" w:customStyle="1" w:styleId="84">
    <w:name w:val="标准文件_附录五级条标题"/>
    <w:next w:val="56"/>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Char"/>
    <w:link w:val="13"/>
    <w:qFormat/>
    <w:uiPriority w:val="0"/>
    <w:rPr>
      <w:rFonts w:ascii="Times New Roman" w:hAnsi="Times New Roman" w:eastAsia="宋体" w:cs="Times New Roman"/>
      <w:szCs w:val="20"/>
    </w:rPr>
  </w:style>
  <w:style w:type="paragraph" w:customStyle="1" w:styleId="87">
    <w:name w:val="标准文件_附录章标题"/>
    <w:next w:val="56"/>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qFormat/>
    <w:uiPriority w:val="0"/>
    <w:pPr>
      <w:ind w:left="488" w:leftChars="200" w:hanging="289" w:hangingChars="290"/>
    </w:pPr>
  </w:style>
  <w:style w:type="paragraph" w:customStyle="1" w:styleId="89">
    <w:name w:val="标准文件_前言、引言标题"/>
    <w:next w:val="1"/>
    <w:qFormat/>
    <w:uiPriority w:val="0"/>
    <w:pPr>
      <w:numPr>
        <w:ilvl w:val="0"/>
        <w:numId w:val="8"/>
      </w:numPr>
      <w:shd w:val="clear" w:color="FFFFFF" w:fill="FFFFFF"/>
      <w:spacing w:before="480" w:after="150" w:afterLines="150"/>
      <w:ind w:left="0" w:firstLine="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qFormat/>
    <w:uiPriority w:val="0"/>
    <w:pPr>
      <w:spacing w:line="460" w:lineRule="exact"/>
    </w:pPr>
  </w:style>
  <w:style w:type="paragraph" w:customStyle="1" w:styleId="91">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2">
    <w:name w:val="标准文件_破折号列项"/>
    <w:qFormat/>
    <w:uiPriority w:val="0"/>
    <w:pPr>
      <w:numPr>
        <w:ilvl w:val="0"/>
        <w:numId w:val="9"/>
      </w:numPr>
      <w:adjustRightInd w:val="0"/>
      <w:snapToGrid w:val="0"/>
      <w:ind w:left="0"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qFormat/>
    <w:uiPriority w:val="0"/>
    <w:pPr>
      <w:numPr>
        <w:numId w:val="10"/>
      </w:numPr>
      <w:ind w:left="0" w:firstLine="200"/>
    </w:pPr>
  </w:style>
  <w:style w:type="paragraph" w:customStyle="1" w:styleId="94">
    <w:name w:val="标准文件_三级条标题"/>
    <w:basedOn w:val="65"/>
    <w:next w:val="56"/>
    <w:qFormat/>
    <w:uiPriority w:val="0"/>
    <w:pPr>
      <w:widowControl/>
      <w:numPr>
        <w:ilvl w:val="4"/>
      </w:numPr>
      <w:outlineLvl w:val="3"/>
    </w:pPr>
  </w:style>
  <w:style w:type="character" w:customStyle="1" w:styleId="95">
    <w:name w:val="不明显参考1"/>
    <w:qFormat/>
    <w:uiPriority w:val="31"/>
    <w:rPr>
      <w:smallCaps/>
      <w:color w:val="C0504D"/>
      <w:u w:val="single"/>
    </w:rPr>
  </w:style>
  <w:style w:type="paragraph" w:customStyle="1" w:styleId="96">
    <w:name w:val="标准文件_示例后续"/>
    <w:basedOn w:val="1"/>
    <w:qFormat/>
    <w:uiPriority w:val="0"/>
    <w:pPr>
      <w:adjustRightInd/>
      <w:spacing w:line="240" w:lineRule="auto"/>
      <w:ind w:firstLine="200" w:firstLineChars="200"/>
    </w:pPr>
    <w:rPr>
      <w:sz w:val="18"/>
      <w:szCs w:val="24"/>
    </w:rPr>
  </w:style>
  <w:style w:type="paragraph" w:customStyle="1" w:styleId="97">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Char"/>
    <w:link w:val="21"/>
    <w:semiHidden/>
    <w:qFormat/>
    <w:uiPriority w:val="0"/>
    <w:rPr>
      <w:rFonts w:ascii="宋体" w:hAnsi="Times New Roman" w:eastAsia="宋体" w:cs="Times New Roman"/>
      <w:sz w:val="18"/>
      <w:szCs w:val="18"/>
    </w:rPr>
  </w:style>
  <w:style w:type="paragraph" w:customStyle="1" w:styleId="100">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qFormat/>
    <w:uiPriority w:val="0"/>
    <w:pPr>
      <w:numPr>
        <w:ilvl w:val="0"/>
        <w:numId w:val="12"/>
      </w:numPr>
      <w:spacing w:line="240" w:lineRule="auto"/>
      <w:jc w:val="left"/>
    </w:pPr>
    <w:rPr>
      <w:rFonts w:ascii="宋体" w:hAnsi="宋体"/>
      <w:sz w:val="18"/>
    </w:rPr>
  </w:style>
  <w:style w:type="character" w:customStyle="1" w:styleId="102">
    <w:name w:val="标准文件_图表脚注内容"/>
    <w:qFormat/>
    <w:uiPriority w:val="0"/>
    <w:rPr>
      <w:rFonts w:ascii="宋体" w:hAnsi="宋体" w:eastAsia="宋体" w:cs="Times New Roman"/>
      <w:spacing w:val="0"/>
      <w:sz w:val="18"/>
      <w:vertAlign w:val="superscript"/>
    </w:rPr>
  </w:style>
  <w:style w:type="paragraph" w:customStyle="1" w:styleId="103">
    <w:name w:val="标准文件_五级条标题"/>
    <w:next w:val="56"/>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qFormat/>
    <w:uiPriority w:val="0"/>
    <w:pPr>
      <w:numPr>
        <w:ilvl w:val="2"/>
      </w:numPr>
      <w:spacing w:before="50" w:beforeLines="50" w:after="50" w:afterLines="50"/>
      <w:outlineLvl w:val="1"/>
    </w:pPr>
  </w:style>
  <w:style w:type="paragraph" w:customStyle="1" w:styleId="106">
    <w:name w:val="标准文件_一致程度"/>
    <w:basedOn w:val="1"/>
    <w:qFormat/>
    <w:uiPriority w:val="0"/>
    <w:pPr>
      <w:spacing w:line="440" w:lineRule="exact"/>
      <w:jc w:val="center"/>
    </w:pPr>
    <w:rPr>
      <w:sz w:val="28"/>
    </w:rPr>
  </w:style>
  <w:style w:type="paragraph" w:customStyle="1" w:styleId="107">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qFormat/>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qFormat/>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qFormat/>
    <w:uiPriority w:val="0"/>
    <w:pPr>
      <w:numPr>
        <w:ilvl w:val="3"/>
        <w:numId w:val="20"/>
      </w:numPr>
      <w:adjustRightInd/>
      <w:spacing w:line="240" w:lineRule="auto"/>
    </w:pPr>
    <w:rPr>
      <w:rFonts w:ascii="宋体" w:hAnsi="宋体"/>
      <w:szCs w:val="24"/>
    </w:rPr>
  </w:style>
  <w:style w:type="paragraph" w:customStyle="1" w:styleId="119">
    <w:name w:val="发布部门"/>
    <w:next w:val="56"/>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qFormat/>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qFormat/>
    <w:uiPriority w:val="0"/>
    <w:pPr>
      <w:outlineLvl w:val="4"/>
    </w:pPr>
  </w:style>
  <w:style w:type="paragraph" w:customStyle="1" w:styleId="130">
    <w:name w:val="附录四级无标题条"/>
    <w:basedOn w:val="129"/>
    <w:next w:val="56"/>
    <w:qFormat/>
    <w:uiPriority w:val="0"/>
    <w:pPr>
      <w:outlineLvl w:val="5"/>
    </w:pPr>
  </w:style>
  <w:style w:type="paragraph" w:customStyle="1" w:styleId="131">
    <w:name w:val="附录图"/>
    <w:next w:val="56"/>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qFormat/>
    <w:uiPriority w:val="0"/>
    <w:pPr>
      <w:outlineLvl w:val="6"/>
    </w:pPr>
  </w:style>
  <w:style w:type="paragraph" w:customStyle="1" w:styleId="134">
    <w:name w:val="附录性质"/>
    <w:basedOn w:val="1"/>
    <w:qFormat/>
    <w:uiPriority w:val="0"/>
    <w:pPr>
      <w:widowControl/>
      <w:adjustRightInd/>
      <w:jc w:val="center"/>
    </w:pPr>
    <w:rPr>
      <w:rFonts w:ascii="黑体" w:eastAsia="黑体"/>
    </w:rPr>
  </w:style>
  <w:style w:type="paragraph" w:customStyle="1" w:styleId="135">
    <w:name w:val="附录一级无标题条"/>
    <w:basedOn w:val="87"/>
    <w:next w:val="56"/>
    <w:qFormat/>
    <w:uiPriority w:val="0"/>
    <w:pPr>
      <w:autoSpaceDN w:val="0"/>
      <w:outlineLvl w:val="2"/>
    </w:pPr>
    <w:rPr>
      <w:rFonts w:ascii="宋体" w:hAnsi="宋体" w:eastAsia="宋体"/>
    </w:rPr>
  </w:style>
  <w:style w:type="character" w:customStyle="1" w:styleId="136">
    <w:name w:val="个人答复风格"/>
    <w:qFormat/>
    <w:uiPriority w:val="0"/>
    <w:rPr>
      <w:rFonts w:ascii="Arial" w:hAnsi="Arial" w:eastAsia="宋体" w:cs="Arial"/>
      <w:color w:val="auto"/>
      <w:spacing w:val="0"/>
      <w:sz w:val="20"/>
    </w:rPr>
  </w:style>
  <w:style w:type="character" w:customStyle="1" w:styleId="137">
    <w:name w:val="个人撰写风格"/>
    <w:qFormat/>
    <w:uiPriority w:val="0"/>
    <w:rPr>
      <w:rFonts w:ascii="Arial" w:hAnsi="Arial" w:eastAsia="宋体" w:cs="Arial"/>
      <w:color w:val="auto"/>
      <w:spacing w:val="0"/>
      <w:sz w:val="20"/>
    </w:rPr>
  </w:style>
  <w:style w:type="paragraph" w:customStyle="1" w:styleId="138">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qFormat/>
    <w:uiPriority w:val="0"/>
    <w:pPr>
      <w:tabs>
        <w:tab w:val="left" w:pos="840"/>
      </w:tabs>
    </w:pPr>
  </w:style>
  <w:style w:type="paragraph" w:customStyle="1" w:styleId="141">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autoRedefine/>
    <w:semiHidden/>
    <w:qFormat/>
    <w:uiPriority w:val="0"/>
    <w:pPr>
      <w:adjustRightInd/>
      <w:spacing w:line="240" w:lineRule="auto"/>
      <w:jc w:val="left"/>
    </w:pPr>
    <w:rPr>
      <w:bCs/>
      <w:iCs/>
    </w:rPr>
  </w:style>
  <w:style w:type="paragraph" w:customStyle="1" w:styleId="143">
    <w:name w:val="目录 31"/>
    <w:basedOn w:val="1"/>
    <w:next w:val="1"/>
    <w:autoRedefine/>
    <w:semiHidden/>
    <w:qFormat/>
    <w:uiPriority w:val="0"/>
    <w:pPr>
      <w:spacing w:line="240" w:lineRule="auto"/>
    </w:pPr>
    <w:rPr>
      <w:rFonts w:ascii="宋体" w:hAnsi="宋体"/>
      <w:iCs/>
    </w:rPr>
  </w:style>
  <w:style w:type="paragraph" w:customStyle="1" w:styleId="144">
    <w:name w:val="目录 41"/>
    <w:basedOn w:val="1"/>
    <w:next w:val="1"/>
    <w:autoRedefine/>
    <w:semiHidden/>
    <w:qFormat/>
    <w:uiPriority w:val="0"/>
    <w:pPr>
      <w:adjustRightInd/>
      <w:spacing w:line="240" w:lineRule="auto"/>
      <w:jc w:val="left"/>
    </w:pPr>
  </w:style>
  <w:style w:type="paragraph" w:customStyle="1" w:styleId="145">
    <w:name w:val="目录 51"/>
    <w:basedOn w:val="1"/>
    <w:next w:val="1"/>
    <w:autoRedefine/>
    <w:semiHidden/>
    <w:qFormat/>
    <w:uiPriority w:val="0"/>
    <w:pPr>
      <w:spacing w:line="240" w:lineRule="auto"/>
    </w:pPr>
    <w:rPr>
      <w:rFonts w:ascii="宋体" w:hAnsi="宋体"/>
    </w:rPr>
  </w:style>
  <w:style w:type="paragraph" w:customStyle="1" w:styleId="146">
    <w:name w:val="目录 61"/>
    <w:basedOn w:val="1"/>
    <w:next w:val="1"/>
    <w:autoRedefine/>
    <w:semiHidden/>
    <w:qFormat/>
    <w:uiPriority w:val="0"/>
    <w:pPr>
      <w:adjustRightInd/>
      <w:spacing w:line="240" w:lineRule="auto"/>
      <w:jc w:val="left"/>
    </w:pPr>
  </w:style>
  <w:style w:type="paragraph" w:customStyle="1" w:styleId="147">
    <w:name w:val="目录 71"/>
    <w:basedOn w:val="146"/>
    <w:autoRedefine/>
    <w:semiHidden/>
    <w:qFormat/>
    <w:uiPriority w:val="0"/>
    <w:pPr>
      <w:ind w:left="1260"/>
    </w:pPr>
  </w:style>
  <w:style w:type="paragraph" w:customStyle="1" w:styleId="148">
    <w:name w:val="目录 81"/>
    <w:basedOn w:val="147"/>
    <w:autoRedefine/>
    <w:semiHidden/>
    <w:qFormat/>
    <w:uiPriority w:val="0"/>
    <w:pPr>
      <w:ind w:left="1470"/>
    </w:pPr>
  </w:style>
  <w:style w:type="paragraph" w:customStyle="1" w:styleId="149">
    <w:name w:val="目录 91"/>
    <w:basedOn w:val="148"/>
    <w:autoRedefine/>
    <w:semiHidden/>
    <w:qFormat/>
    <w:uiPriority w:val="0"/>
    <w:pPr>
      <w:ind w:left="1680"/>
    </w:pPr>
  </w:style>
  <w:style w:type="paragraph" w:customStyle="1" w:styleId="150">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qFormat/>
    <w:uiPriority w:val="0"/>
    <w:pPr>
      <w:framePr w:wrap="around"/>
      <w:spacing w:line="0" w:lineRule="atLeast"/>
    </w:pPr>
    <w:rPr>
      <w:rFonts w:ascii="黑体" w:eastAsia="黑体"/>
      <w:b w:val="0"/>
    </w:rPr>
  </w:style>
  <w:style w:type="paragraph" w:customStyle="1" w:styleId="152">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4">
    <w:name w:val="实施日期"/>
    <w:basedOn w:val="120"/>
    <w:qFormat/>
    <w:uiPriority w:val="0"/>
    <w:pPr>
      <w:framePr w:hSpace="0" w:wrap="around" w:xAlign="right"/>
      <w:jc w:val="right"/>
    </w:pPr>
  </w:style>
  <w:style w:type="paragraph" w:customStyle="1" w:styleId="155">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6">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qFormat/>
    <w:uiPriority w:val="0"/>
    <w:pPr>
      <w:jc w:val="both"/>
    </w:pPr>
    <w:rPr>
      <w:rFonts w:ascii="宋体" w:hAnsi="宋体" w:eastAsia="宋体" w:cs="Times New Roman"/>
      <w:sz w:val="21"/>
      <w:lang w:val="en-US" w:eastAsia="zh-CN" w:bidi="ar-SA"/>
    </w:rPr>
  </w:style>
  <w:style w:type="paragraph" w:customStyle="1" w:styleId="158">
    <w:name w:val="五级无标题条"/>
    <w:basedOn w:val="1"/>
    <w:qFormat/>
    <w:uiPriority w:val="0"/>
    <w:pPr>
      <w:numPr>
        <w:ilvl w:val="6"/>
        <w:numId w:val="20"/>
      </w:numPr>
      <w:adjustRightInd/>
    </w:pPr>
    <w:rPr>
      <w:szCs w:val="24"/>
    </w:rPr>
  </w:style>
  <w:style w:type="paragraph" w:customStyle="1" w:styleId="159">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0">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qFormat/>
    <w:uiPriority w:val="0"/>
    <w:pPr>
      <w:ind w:left="1406" w:leftChars="0" w:hanging="499" w:firstLineChars="0"/>
    </w:pPr>
  </w:style>
  <w:style w:type="paragraph" w:customStyle="1" w:styleId="162">
    <w:name w:val="标准文件_一级无标题"/>
    <w:basedOn w:val="105"/>
    <w:qFormat/>
    <w:uiPriority w:val="0"/>
    <w:pPr>
      <w:spacing w:before="0" w:beforeLines="0" w:after="0" w:afterLines="0"/>
      <w:outlineLvl w:val="9"/>
    </w:pPr>
    <w:rPr>
      <w:rFonts w:ascii="宋体" w:eastAsia="宋体"/>
    </w:rPr>
  </w:style>
  <w:style w:type="paragraph" w:customStyle="1" w:styleId="163">
    <w:name w:val="标准文件_五级无标题"/>
    <w:basedOn w:val="103"/>
    <w:qFormat/>
    <w:uiPriority w:val="0"/>
    <w:pPr>
      <w:spacing w:before="0" w:beforeLines="0" w:after="0" w:afterLines="0"/>
      <w:outlineLvl w:val="9"/>
    </w:pPr>
    <w:rPr>
      <w:rFonts w:ascii="宋体" w:eastAsia="宋体"/>
    </w:rPr>
  </w:style>
  <w:style w:type="paragraph" w:customStyle="1" w:styleId="164">
    <w:name w:val="标准文件_三级无标题"/>
    <w:basedOn w:val="94"/>
    <w:qFormat/>
    <w:uiPriority w:val="0"/>
    <w:pPr>
      <w:spacing w:before="0" w:beforeLines="0" w:after="0" w:afterLines="0"/>
      <w:outlineLvl w:val="9"/>
    </w:pPr>
    <w:rPr>
      <w:rFonts w:ascii="宋体" w:eastAsia="宋体"/>
    </w:rPr>
  </w:style>
  <w:style w:type="paragraph" w:customStyle="1" w:styleId="165">
    <w:name w:val="标准文件_二级无标题"/>
    <w:basedOn w:val="65"/>
    <w:qFormat/>
    <w:uiPriority w:val="0"/>
    <w:pPr>
      <w:spacing w:before="0" w:beforeLines="0" w:after="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qFormat/>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qFormat/>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qFormat/>
    <w:uiPriority w:val="0"/>
    <w:rPr>
      <w:rFonts w:ascii="宋体" w:hAnsi="Times New Roman" w:eastAsia="宋体" w:cs="Times New Roman"/>
      <w:sz w:val="21"/>
      <w:lang w:val="en-US" w:eastAsia="zh-CN" w:bidi="ar-SA"/>
    </w:rPr>
  </w:style>
  <w:style w:type="paragraph" w:customStyle="1" w:styleId="172">
    <w:name w:val="标准文件_三级项"/>
    <w:basedOn w:val="1"/>
    <w:qFormat/>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qFormat/>
    <w:uiPriority w:val="0"/>
    <w:pPr>
      <w:numPr>
        <w:ilvl w:val="0"/>
        <w:numId w:val="25"/>
      </w:numPr>
      <w:adjustRightInd/>
      <w:spacing w:line="240" w:lineRule="auto"/>
      <w:ind w:left="783"/>
    </w:pPr>
    <w:rPr>
      <w:rFonts w:ascii="宋体" w:hAnsi="Times New Roman"/>
      <w:sz w:val="18"/>
      <w:szCs w:val="18"/>
    </w:rPr>
  </w:style>
  <w:style w:type="paragraph" w:customStyle="1" w:styleId="174">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qFormat/>
    <w:uiPriority w:val="0"/>
    <w:pPr>
      <w:widowControl w:val="0"/>
      <w:numPr>
        <w:ilvl w:val="0"/>
        <w:numId w:val="26"/>
      </w:numPr>
      <w:autoSpaceDE w:val="0"/>
      <w:autoSpaceDN w:val="0"/>
      <w:ind w:left="737"/>
      <w:jc w:val="both"/>
    </w:pPr>
    <w:rPr>
      <w:rFonts w:ascii="宋体" w:hAnsi="Times New Roman" w:eastAsia="宋体" w:cs="Times New Roman"/>
      <w:sz w:val="18"/>
      <w:szCs w:val="18"/>
      <w:lang w:val="en-US" w:eastAsia="zh-CN" w:bidi="ar-SA"/>
    </w:rPr>
  </w:style>
  <w:style w:type="paragraph" w:customStyle="1" w:styleId="180">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qFormat/>
    <w:uiPriority w:val="0"/>
    <w:rPr>
      <w:rFonts w:ascii="宋体"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qFormat/>
    <w:uiPriority w:val="99"/>
    <w:rPr>
      <w:color w:val="808080"/>
    </w:rPr>
  </w:style>
  <w:style w:type="paragraph" w:customStyle="1" w:styleId="187">
    <w:name w:val="标准文件_二级项2"/>
    <w:basedOn w:val="56"/>
    <w:qFormat/>
    <w:uiPriority w:val="0"/>
    <w:pPr>
      <w:numPr>
        <w:ilvl w:val="1"/>
        <w:numId w:val="21"/>
      </w:numPr>
      <w:ind w:left="1271" w:hanging="420" w:firstLineChars="0"/>
    </w:pPr>
  </w:style>
  <w:style w:type="paragraph" w:customStyle="1" w:styleId="188">
    <w:name w:val="标准文件_三级项2"/>
    <w:basedOn w:val="56"/>
    <w:qFormat/>
    <w:uiPriority w:val="0"/>
    <w:pPr>
      <w:numPr>
        <w:ilvl w:val="0"/>
        <w:numId w:val="30"/>
      </w:numPr>
      <w:spacing w:line="300" w:lineRule="exact"/>
      <w:ind w:left="1276" w:hanging="425" w:firstLineChars="0"/>
    </w:pPr>
    <w:rPr>
      <w:rFonts w:ascii="Times New Roman"/>
    </w:rPr>
  </w:style>
  <w:style w:type="paragraph" w:customStyle="1" w:styleId="189">
    <w:name w:val="标准文件_一级项2"/>
    <w:basedOn w:val="56"/>
    <w:qFormat/>
    <w:uiPriority w:val="0"/>
    <w:pPr>
      <w:numPr>
        <w:ilvl w:val="0"/>
        <w:numId w:val="31"/>
      </w:numPr>
      <w:spacing w:line="300" w:lineRule="exact"/>
      <w:ind w:left="1271" w:hanging="420" w:firstLineChars="0"/>
    </w:pPr>
    <w:rPr>
      <w:rFonts w:ascii="Times New Roman"/>
    </w:r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qFormat/>
    <w:uiPriority w:val="0"/>
    <w:pPr>
      <w:framePr w:w="3997" w:h="471" w:hRule="exact" w:hSpace="0" w:vSpace="181" w:wrap="around" w:vAnchor="page" w:hAnchor="page" w:x="1419" w:y="14097"/>
    </w:pPr>
  </w:style>
  <w:style w:type="paragraph" w:customStyle="1" w:styleId="194">
    <w:name w:val="其他实施日期"/>
    <w:basedOn w:val="154"/>
    <w:qFormat/>
    <w:uiPriority w:val="0"/>
    <w:pPr>
      <w:framePr w:w="3997" w:h="471" w:hRule="exact" w:vSpace="181" w:wrap="around" w:vAnchor="page" w:hAnchor="page" w:x="7089" w:y="14097"/>
    </w:pPr>
  </w:style>
  <w:style w:type="paragraph" w:customStyle="1" w:styleId="195">
    <w:name w:val="标准文件_文件编号"/>
    <w:basedOn w:val="5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qFormat/>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qFormat/>
    <w:uiPriority w:val="0"/>
    <w:pPr>
      <w:spacing w:before="0" w:beforeLines="0" w:after="0" w:afterLines="0" w:line="276" w:lineRule="auto"/>
    </w:pPr>
    <w:rPr>
      <w:rFonts w:ascii="宋体" w:eastAsia="宋体"/>
    </w:rPr>
  </w:style>
  <w:style w:type="paragraph" w:customStyle="1" w:styleId="218">
    <w:name w:val="标准文件_引言三级无标题"/>
    <w:basedOn w:val="202"/>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table" w:customStyle="1" w:styleId="229">
    <w:name w:val="网格型1"/>
    <w:basedOn w:val="26"/>
    <w:autoRedefine/>
    <w:qFormat/>
    <w:uiPriority w:val="39"/>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
    <w:name w:val="网格型2"/>
    <w:basedOn w:val="26"/>
    <w:autoRedefine/>
    <w:qFormat/>
    <w:uiPriority w:val="39"/>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
    <w:name w:val="网格型3"/>
    <w:basedOn w:val="26"/>
    <w:autoRedefine/>
    <w:qFormat/>
    <w:uiPriority w:val="39"/>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2">
    <w:name w:val="网格型4"/>
    <w:basedOn w:val="26"/>
    <w:autoRedefine/>
    <w:qFormat/>
    <w:uiPriority w:val="39"/>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
    <w:name w:val="网格型5"/>
    <w:basedOn w:val="26"/>
    <w:autoRedefine/>
    <w:qFormat/>
    <w:uiPriority w:val="39"/>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4">
    <w:name w:val="网格型6"/>
    <w:basedOn w:val="26"/>
    <w:autoRedefine/>
    <w:qFormat/>
    <w:uiPriority w:val="39"/>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0" Type="http://schemas.openxmlformats.org/officeDocument/2006/relationships/glossaryDocument" Target="glossary/document.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image" Target="media/image4.jpeg"/><Relationship Id="rId15" Type="http://schemas.openxmlformats.org/officeDocument/2006/relationships/image" Target="media/image3.jpeg"/><Relationship Id="rId14" Type="http://schemas.openxmlformats.org/officeDocument/2006/relationships/image" Target="media/image2.tiff"/><Relationship Id="rId13" Type="http://schemas.openxmlformats.org/officeDocument/2006/relationships/image" Target="media/image1.png"/><Relationship Id="rId12" Type="http://schemas.openxmlformats.org/officeDocument/2006/relationships/theme" Target="theme/theme1.xml"/><Relationship Id="rId11" Type="http://schemas.openxmlformats.org/officeDocument/2006/relationships/footer" Target="footer3.xml"/><Relationship Id="rId10" Type="http://schemas.openxmlformats.org/officeDocument/2006/relationships/header" Target="head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69;&#23478;&#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F95113A765E4465E9A52C8F04634150C"/>
        <w:style w:val=""/>
        <w:category>
          <w:name w:val="常规"/>
          <w:gallery w:val="placeholder"/>
        </w:category>
        <w:types>
          <w:type w:val="bbPlcHdr"/>
        </w:types>
        <w:behaviors>
          <w:behavior w:val="content"/>
        </w:behaviors>
        <w:description w:val=""/>
        <w:guid w:val="{5F2DF36F-31CA-4010-9EE2-8ED7E8D57E9C}"/>
      </w:docPartPr>
      <w:docPartBody>
        <w:p w14:paraId="6550DED7">
          <w:pPr>
            <w:pStyle w:val="5"/>
          </w:pPr>
          <w:r>
            <w:rPr>
              <w:rStyle w:val="4"/>
              <w:rFonts w:hint="eastAsia"/>
            </w:rPr>
            <w:t>单击或点击此处输入文字。</w:t>
          </w:r>
        </w:p>
      </w:docPartBody>
    </w:docPart>
    <w:docPart>
      <w:docPartPr>
        <w:name w:val="BDE615064EFD473C9CFE3D2A4DF59774"/>
        <w:style w:val=""/>
        <w:category>
          <w:name w:val="常规"/>
          <w:gallery w:val="placeholder"/>
        </w:category>
        <w:types>
          <w:type w:val="bbPlcHdr"/>
        </w:types>
        <w:behaviors>
          <w:behavior w:val="content"/>
        </w:behaviors>
        <w:description w:val=""/>
        <w:guid w:val="{417698EF-A313-4476-804B-E089787D079B}"/>
      </w:docPartPr>
      <w:docPartBody>
        <w:p w14:paraId="69517D07">
          <w:pPr>
            <w:pStyle w:val="6"/>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doNotDisplayPageBoundaries w:val="1"/>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4DD2"/>
    <w:rsid w:val="003B4DD2"/>
    <w:rsid w:val="00654C06"/>
    <w:rsid w:val="008C75C0"/>
    <w:rsid w:val="00986CED"/>
    <w:rsid w:val="00A519D3"/>
    <w:rsid w:val="00BD330A"/>
    <w:rsid w:val="00D16B89"/>
    <w:rsid w:val="00E43216"/>
    <w:rsid w:val="00F412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character" w:default="1" w:styleId="2">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F95113A765E4465E9A52C8F04634150C"/>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6">
    <w:name w:val="BDE615064EFD473C9CFE3D2A4DF59774"/>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国家标准</Template>
  <Company>PCMI</Company>
  <Pages>8</Pages>
  <Words>2823</Words>
  <Characters>3242</Characters>
  <Lines>31</Lines>
  <Paragraphs>8</Paragraphs>
  <TotalTime>120</TotalTime>
  <ScaleCrop>false</ScaleCrop>
  <LinksUpToDate>false</LinksUpToDate>
  <CharactersWithSpaces>3349</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2024-11-18T08:38:00Z</dcterms:created>
  <dc:creator>DT</dc:creator>
  <dc:description>&lt;config cover="true" show_menu="true" version="1.0.0" doctype="SDKXY"&gt;_x000d_
&lt;/config&gt;</dc:description>
  <cp:lastModifiedBy>Teacher H</cp:lastModifiedBy>
  <cp:lastPrinted>2024-11-25T02:56:05Z</cp:lastPrinted>
  <dcterms:modified xsi:type="dcterms:W3CDTF">2024-11-25T03:05:54Z</dcterms:modified>
  <dc:title>国家标准</dc:title>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国家标准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2052-12.1.0.18912</vt:lpwstr>
  </property>
  <property fmtid="{D5CDD505-2E9C-101B-9397-08002B2CF9AE}" pid="15" name="ICV">
    <vt:lpwstr>83C6584DBC3B4BB4A13146C4EE582ED3_13</vt:lpwstr>
  </property>
</Properties>
</file>