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63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b/>
          <w:sz w:val="44"/>
          <w:szCs w:val="44"/>
        </w:rPr>
      </w:pPr>
      <w:bookmarkStart w:id="0" w:name="OLE_LINK1"/>
    </w:p>
    <w:p w14:paraId="20CAA19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b/>
          <w:sz w:val="44"/>
          <w:szCs w:val="44"/>
        </w:rPr>
      </w:pPr>
    </w:p>
    <w:p w14:paraId="00D33A1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b/>
          <w:sz w:val="44"/>
          <w:szCs w:val="44"/>
        </w:rPr>
      </w:pPr>
      <w:r>
        <w:rPr>
          <w:rFonts w:hint="eastAsia" w:ascii="仿宋" w:hAnsi="仿宋" w:eastAsia="仿宋"/>
          <w:b/>
          <w:sz w:val="44"/>
          <w:szCs w:val="44"/>
        </w:rPr>
        <w:t>推荐性国家标准</w:t>
      </w:r>
    </w:p>
    <w:p w14:paraId="462A78A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b/>
          <w:sz w:val="44"/>
          <w:szCs w:val="44"/>
        </w:rPr>
      </w:pPr>
      <w:r>
        <w:rPr>
          <w:rFonts w:ascii="仿宋" w:hAnsi="仿宋" w:eastAsia="仿宋"/>
          <w:b/>
          <w:sz w:val="44"/>
          <w:szCs w:val="44"/>
        </w:rPr>
        <w:t>《</w:t>
      </w:r>
      <w:r>
        <w:rPr>
          <w:rFonts w:hint="eastAsia" w:ascii="仿宋" w:hAnsi="仿宋" w:eastAsia="仿宋"/>
          <w:b/>
          <w:sz w:val="44"/>
          <w:szCs w:val="44"/>
          <w:lang w:val="en-US" w:eastAsia="zh-CN"/>
        </w:rPr>
        <w:t>废旧农业机械回收体系建设规范</w:t>
      </w:r>
      <w:r>
        <w:rPr>
          <w:rFonts w:ascii="仿宋" w:hAnsi="仿宋" w:eastAsia="仿宋"/>
          <w:b/>
          <w:sz w:val="44"/>
          <w:szCs w:val="44"/>
        </w:rPr>
        <w:t>》</w:t>
      </w:r>
    </w:p>
    <w:p w14:paraId="16EA2BF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r>
        <w:rPr>
          <w:rFonts w:hint="eastAsia" w:ascii="仿宋" w:hAnsi="仿宋" w:eastAsia="仿宋"/>
          <w:sz w:val="32"/>
          <w:szCs w:val="32"/>
        </w:rPr>
        <w:t>（征求意见稿）</w:t>
      </w:r>
    </w:p>
    <w:p w14:paraId="0B6795D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b/>
          <w:sz w:val="44"/>
          <w:szCs w:val="44"/>
        </w:rPr>
      </w:pPr>
      <w:r>
        <w:rPr>
          <w:rFonts w:hint="eastAsia" w:ascii="仿宋" w:hAnsi="仿宋" w:eastAsia="仿宋"/>
          <w:b/>
          <w:sz w:val="44"/>
          <w:szCs w:val="44"/>
        </w:rPr>
        <w:t xml:space="preserve"> </w:t>
      </w:r>
    </w:p>
    <w:p w14:paraId="14B300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b/>
          <w:bCs/>
          <w:sz w:val="32"/>
          <w:szCs w:val="32"/>
        </w:rPr>
      </w:pPr>
    </w:p>
    <w:p w14:paraId="6E9246C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1F2A2BB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777D529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b/>
          <w:bCs/>
          <w:sz w:val="40"/>
          <w:szCs w:val="40"/>
        </w:rPr>
      </w:pPr>
      <w:r>
        <w:rPr>
          <w:rFonts w:ascii="仿宋" w:hAnsi="仿宋" w:eastAsia="仿宋"/>
          <w:b/>
          <w:bCs/>
          <w:sz w:val="40"/>
          <w:szCs w:val="40"/>
        </w:rPr>
        <w:t>编制说明</w:t>
      </w:r>
    </w:p>
    <w:p w14:paraId="42C1DFB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623E6E6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7DD2C9A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50975A0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318430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7A7BAE4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6479B25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42FA1B2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pPr>
    </w:p>
    <w:p w14:paraId="4D7094F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lang w:val="en-US" w:eastAsia="zh-CN"/>
        </w:rPr>
        <w:t>废旧农业机械回收体系建设规范</w:t>
      </w:r>
      <w:r>
        <w:rPr>
          <w:rFonts w:ascii="仿宋" w:hAnsi="仿宋" w:eastAsia="仿宋"/>
          <w:sz w:val="28"/>
          <w:szCs w:val="28"/>
        </w:rPr>
        <w:t>》</w:t>
      </w:r>
      <w:r>
        <w:rPr>
          <w:rFonts w:hint="eastAsia" w:ascii="仿宋" w:hAnsi="仿宋" w:eastAsia="仿宋"/>
          <w:sz w:val="28"/>
          <w:szCs w:val="28"/>
        </w:rPr>
        <w:t>标准起草</w:t>
      </w:r>
      <w:r>
        <w:rPr>
          <w:rFonts w:ascii="仿宋" w:hAnsi="仿宋" w:eastAsia="仿宋"/>
          <w:sz w:val="28"/>
          <w:szCs w:val="28"/>
        </w:rPr>
        <w:t>组</w:t>
      </w:r>
    </w:p>
    <w:p w14:paraId="5CAB466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sz w:val="32"/>
          <w:szCs w:val="32"/>
        </w:rPr>
        <w:sectPr>
          <w:footerReference r:id="rId3" w:type="default"/>
          <w:pgSz w:w="11906" w:h="16838"/>
          <w:pgMar w:top="1440" w:right="1800" w:bottom="1440" w:left="1800" w:header="851" w:footer="992" w:gutter="0"/>
          <w:pgNumType w:fmt="upperRoman"/>
          <w:cols w:space="720" w:num="1"/>
          <w:docGrid w:type="lines" w:linePitch="312" w:charSpace="0"/>
        </w:sectPr>
      </w:pPr>
      <w:r>
        <w:rPr>
          <w:rFonts w:ascii="仿宋" w:hAnsi="仿宋" w:eastAsia="仿宋"/>
          <w:sz w:val="32"/>
          <w:szCs w:val="32"/>
        </w:rPr>
        <w:t>2024年</w:t>
      </w:r>
      <w:r>
        <w:rPr>
          <w:rFonts w:hint="eastAsia" w:ascii="仿宋" w:hAnsi="仿宋" w:eastAsia="仿宋"/>
          <w:sz w:val="32"/>
          <w:szCs w:val="32"/>
          <w:lang w:val="en-US" w:eastAsia="zh-CN"/>
        </w:rPr>
        <w:t>11</w:t>
      </w:r>
      <w:r>
        <w:rPr>
          <w:rFonts w:ascii="仿宋" w:hAnsi="仿宋" w:eastAsia="仿宋"/>
          <w:sz w:val="32"/>
          <w:szCs w:val="32"/>
        </w:rPr>
        <w:t>月</w:t>
      </w:r>
    </w:p>
    <w:p w14:paraId="476595BF">
      <w:pPr>
        <w:pageBreakBefore w:val="0"/>
        <w:kinsoku/>
        <w:wordWrap/>
        <w:overflowPunct/>
        <w:topLinePunct w:val="0"/>
        <w:autoSpaceDE/>
        <w:autoSpaceDN/>
        <w:bidi w:val="0"/>
        <w:spacing w:line="360" w:lineRule="auto"/>
        <w:ind w:firstLine="640" w:firstLineChars="200"/>
        <w:rPr>
          <w:rFonts w:ascii="仿宋" w:hAnsi="仿宋" w:eastAsia="仿宋"/>
          <w:sz w:val="32"/>
          <w:szCs w:val="32"/>
        </w:rPr>
        <w:sectPr>
          <w:footerReference r:id="rId4" w:type="default"/>
          <w:pgSz w:w="11906" w:h="16838"/>
          <w:pgMar w:top="1440" w:right="1800" w:bottom="1440" w:left="1800" w:header="851" w:footer="992" w:gutter="0"/>
          <w:pgNumType w:fmt="upperRoman" w:start="1"/>
          <w:cols w:space="720" w:num="1"/>
          <w:docGrid w:type="lines" w:linePitch="312" w:charSpace="0"/>
        </w:sectPr>
      </w:pPr>
    </w:p>
    <w:p w14:paraId="670BBDF6">
      <w:pPr>
        <w:pStyle w:val="41"/>
        <w:pageBreakBefore w:val="0"/>
        <w:kinsoku/>
        <w:wordWrap/>
        <w:overflowPunct/>
        <w:topLinePunct w:val="0"/>
        <w:autoSpaceDE/>
        <w:autoSpaceDN/>
        <w:bidi w:val="0"/>
        <w:adjustRightInd/>
        <w:snapToGrid/>
        <w:spacing w:before="0"/>
        <w:ind w:firstLine="0" w:firstLineChars="0"/>
        <w:jc w:val="center"/>
        <w:textAlignment w:val="auto"/>
        <w:rPr>
          <w:rFonts w:ascii="仿宋" w:hAnsi="仿宋" w:eastAsia="仿宋" w:cs="Times New Roman"/>
          <w:b/>
          <w:bCs/>
          <w:color w:val="auto"/>
          <w:kern w:val="0"/>
          <w:sz w:val="24"/>
          <w:szCs w:val="24"/>
          <w:lang w:val="en-US" w:eastAsia="zh-CN" w:bidi="ar-SA"/>
        </w:rPr>
      </w:pPr>
      <w:bookmarkStart w:id="1" w:name="_Toc482017024"/>
      <w:r>
        <w:rPr>
          <w:rFonts w:ascii="仿宋" w:hAnsi="仿宋" w:eastAsia="仿宋"/>
          <w:b/>
          <w:bCs/>
          <w:color w:val="auto"/>
          <w:lang w:val="zh-CN"/>
        </w:rPr>
        <w:t>目</w:t>
      </w:r>
      <w:r>
        <w:rPr>
          <w:rFonts w:hint="eastAsia" w:ascii="仿宋" w:hAnsi="仿宋" w:eastAsia="仿宋"/>
          <w:b/>
          <w:bCs/>
          <w:color w:val="auto"/>
          <w:lang w:val="zh-CN"/>
        </w:rPr>
        <w:t xml:space="preserve">  </w:t>
      </w:r>
      <w:r>
        <w:rPr>
          <w:rFonts w:ascii="仿宋" w:hAnsi="仿宋" w:eastAsia="仿宋"/>
          <w:b/>
          <w:bCs/>
          <w:color w:val="auto"/>
          <w:lang w:val="zh-CN"/>
        </w:rPr>
        <w:t>录</w:t>
      </w:r>
      <w:r>
        <w:rPr>
          <w:rFonts w:ascii="仿宋" w:hAnsi="仿宋" w:eastAsia="仿宋"/>
          <w:b/>
          <w:bCs/>
          <w:color w:val="auto"/>
          <w:sz w:val="24"/>
          <w:szCs w:val="24"/>
        </w:rPr>
        <w:fldChar w:fldCharType="begin"/>
      </w:r>
      <w:r>
        <w:rPr>
          <w:rFonts w:ascii="仿宋" w:hAnsi="仿宋" w:eastAsia="仿宋"/>
          <w:b/>
          <w:bCs/>
          <w:color w:val="auto"/>
          <w:sz w:val="24"/>
          <w:szCs w:val="24"/>
        </w:rPr>
        <w:instrText xml:space="preserve"> TOC \o "1-3" \h \z \u </w:instrText>
      </w:r>
      <w:r>
        <w:rPr>
          <w:rFonts w:ascii="仿宋" w:hAnsi="仿宋" w:eastAsia="仿宋"/>
          <w:b/>
          <w:bCs/>
          <w:color w:val="auto"/>
          <w:sz w:val="24"/>
          <w:szCs w:val="24"/>
        </w:rPr>
        <w:fldChar w:fldCharType="separate"/>
      </w:r>
    </w:p>
    <w:p w14:paraId="0AD50E76">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_Toc31161 </w:instrText>
      </w:r>
      <w:r>
        <w:rPr>
          <w:rFonts w:hint="eastAsia" w:ascii="仿宋" w:hAnsi="仿宋" w:eastAsia="仿宋" w:cs="仿宋"/>
          <w:bCs/>
          <w:sz w:val="28"/>
          <w:szCs w:val="28"/>
        </w:rPr>
        <w:fldChar w:fldCharType="separate"/>
      </w:r>
      <w:r>
        <w:rPr>
          <w:rFonts w:hint="eastAsia" w:ascii="仿宋" w:hAnsi="仿宋" w:eastAsia="仿宋" w:cs="仿宋"/>
          <w:sz w:val="28"/>
          <w:szCs w:val="28"/>
        </w:rPr>
        <w:t>一、工作简况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_Toc31161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5788343B">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_Toc15766 </w:instrText>
      </w:r>
      <w:r>
        <w:rPr>
          <w:rFonts w:hint="eastAsia" w:ascii="仿宋" w:hAnsi="仿宋" w:eastAsia="仿宋" w:cs="仿宋"/>
          <w:bCs/>
          <w:sz w:val="28"/>
          <w:szCs w:val="28"/>
        </w:rPr>
        <w:fldChar w:fldCharType="separate"/>
      </w:r>
      <w:r>
        <w:rPr>
          <w:rFonts w:hint="eastAsia" w:ascii="仿宋" w:hAnsi="仿宋" w:eastAsia="仿宋" w:cs="仿宋"/>
          <w:sz w:val="28"/>
          <w:szCs w:val="28"/>
        </w:rPr>
        <w:t>二、国家标准</w:t>
      </w:r>
      <w:r>
        <w:rPr>
          <w:rFonts w:hint="eastAsia" w:ascii="仿宋" w:hAnsi="仿宋" w:eastAsia="仿宋" w:cs="仿宋"/>
          <w:bCs w:val="0"/>
          <w:sz w:val="28"/>
          <w:szCs w:val="28"/>
        </w:rPr>
        <w:t>编制</w:t>
      </w:r>
      <w:r>
        <w:rPr>
          <w:rFonts w:hint="eastAsia" w:ascii="仿宋" w:hAnsi="仿宋" w:eastAsia="仿宋" w:cs="仿宋"/>
          <w:sz w:val="28"/>
          <w:szCs w:val="28"/>
        </w:rPr>
        <w:t>原则、主要内容及其确定依据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_Toc15766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55CB05D2">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_Toc8656 </w:instrText>
      </w:r>
      <w:r>
        <w:rPr>
          <w:rFonts w:hint="eastAsia" w:ascii="仿宋" w:hAnsi="仿宋" w:eastAsia="仿宋" w:cs="仿宋"/>
          <w:bCs/>
          <w:sz w:val="28"/>
          <w:szCs w:val="28"/>
        </w:rPr>
        <w:fldChar w:fldCharType="separate"/>
      </w:r>
      <w:r>
        <w:rPr>
          <w:rFonts w:hint="eastAsia" w:ascii="仿宋" w:hAnsi="仿宋" w:eastAsia="仿宋" w:cs="仿宋"/>
          <w:sz w:val="28"/>
          <w:szCs w:val="28"/>
        </w:rPr>
        <w:t>三、试验验证的分析、综述报告、技术经济论证，预期的经济效益、社会效益和生态效益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_Toc8656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539BA86A">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_Toc8349 </w:instrText>
      </w:r>
      <w:r>
        <w:rPr>
          <w:rFonts w:hint="eastAsia" w:ascii="仿宋" w:hAnsi="仿宋" w:eastAsia="仿宋" w:cs="仿宋"/>
          <w:bCs/>
          <w:sz w:val="28"/>
          <w:szCs w:val="28"/>
        </w:rPr>
        <w:fldChar w:fldCharType="separate"/>
      </w:r>
      <w:r>
        <w:rPr>
          <w:rFonts w:hint="eastAsia" w:ascii="仿宋" w:hAnsi="仿宋" w:eastAsia="仿宋" w:cs="仿宋"/>
          <w:sz w:val="28"/>
          <w:szCs w:val="28"/>
        </w:rPr>
        <w:t>四、与国际、国外同类标准技术内容的对比情况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_Toc8349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715E1DFF">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_Toc12536 </w:instrText>
      </w:r>
      <w:r>
        <w:rPr>
          <w:rFonts w:hint="eastAsia" w:ascii="仿宋" w:hAnsi="仿宋" w:eastAsia="仿宋" w:cs="仿宋"/>
          <w:bCs/>
          <w:sz w:val="28"/>
          <w:szCs w:val="28"/>
        </w:rPr>
        <w:fldChar w:fldCharType="separate"/>
      </w:r>
      <w:r>
        <w:rPr>
          <w:rFonts w:hint="eastAsia" w:ascii="仿宋" w:hAnsi="仿宋" w:eastAsia="仿宋" w:cs="仿宋"/>
          <w:sz w:val="28"/>
          <w:szCs w:val="28"/>
          <w:lang w:val="en-US" w:eastAsia="zh-CN"/>
        </w:rPr>
        <w:t>五、</w:t>
      </w:r>
      <w:r>
        <w:rPr>
          <w:rFonts w:hint="eastAsia" w:ascii="仿宋" w:hAnsi="仿宋" w:eastAsia="仿宋" w:cs="仿宋"/>
          <w:sz w:val="28"/>
          <w:szCs w:val="28"/>
        </w:rPr>
        <w:t>以国际标准为基础的起草情况，以及是否合规引用或者采用国际国外标准，并说明未采用国际标准的原因</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_Toc12536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048C9147">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_Toc27667 </w:instrText>
      </w:r>
      <w:r>
        <w:rPr>
          <w:rFonts w:hint="eastAsia" w:ascii="仿宋" w:hAnsi="仿宋" w:eastAsia="仿宋" w:cs="仿宋"/>
          <w:bCs/>
          <w:sz w:val="28"/>
          <w:szCs w:val="28"/>
        </w:rPr>
        <w:fldChar w:fldCharType="separate"/>
      </w:r>
      <w:r>
        <w:rPr>
          <w:rFonts w:hint="eastAsia" w:ascii="仿宋" w:hAnsi="仿宋" w:eastAsia="仿宋" w:cs="仿宋"/>
          <w:sz w:val="28"/>
          <w:szCs w:val="28"/>
        </w:rPr>
        <w:t>六、</w:t>
      </w:r>
      <w:r>
        <w:rPr>
          <w:rFonts w:hint="eastAsia" w:ascii="仿宋" w:hAnsi="仿宋" w:eastAsia="仿宋" w:cs="仿宋"/>
          <w:bCs w:val="0"/>
          <w:sz w:val="28"/>
          <w:szCs w:val="28"/>
        </w:rPr>
        <w:t>与有关法律、行政法规及相关标准的关系</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_Toc27667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55504459">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_Toc32497 </w:instrText>
      </w:r>
      <w:r>
        <w:rPr>
          <w:rFonts w:hint="eastAsia" w:ascii="仿宋" w:hAnsi="仿宋" w:eastAsia="仿宋" w:cs="仿宋"/>
          <w:bCs/>
          <w:sz w:val="28"/>
          <w:szCs w:val="28"/>
        </w:rPr>
        <w:fldChar w:fldCharType="separate"/>
      </w:r>
      <w:r>
        <w:rPr>
          <w:rFonts w:hint="eastAsia" w:ascii="仿宋" w:hAnsi="仿宋" w:eastAsia="仿宋" w:cs="仿宋"/>
          <w:bCs w:val="0"/>
          <w:sz w:val="28"/>
          <w:szCs w:val="28"/>
        </w:rPr>
        <w:t>七、重大分歧意见的处理经过和依据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_Toc32497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384DE671">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_Toc8116 </w:instrText>
      </w:r>
      <w:r>
        <w:rPr>
          <w:rFonts w:hint="eastAsia" w:ascii="仿宋" w:hAnsi="仿宋" w:eastAsia="仿宋" w:cs="仿宋"/>
          <w:bCs/>
          <w:sz w:val="28"/>
          <w:szCs w:val="28"/>
        </w:rPr>
        <w:fldChar w:fldCharType="separate"/>
      </w:r>
      <w:r>
        <w:rPr>
          <w:rFonts w:hint="eastAsia" w:ascii="仿宋" w:hAnsi="仿宋" w:eastAsia="仿宋" w:cs="仿宋"/>
          <w:bCs w:val="0"/>
          <w:sz w:val="28"/>
          <w:szCs w:val="28"/>
        </w:rPr>
        <w:t>八、涉及专利的有关说明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_Toc8116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614273BF">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_Toc32642 </w:instrText>
      </w:r>
      <w:r>
        <w:rPr>
          <w:rFonts w:hint="eastAsia" w:ascii="仿宋" w:hAnsi="仿宋" w:eastAsia="仿宋" w:cs="仿宋"/>
          <w:bCs/>
          <w:sz w:val="28"/>
          <w:szCs w:val="28"/>
        </w:rPr>
        <w:fldChar w:fldCharType="separate"/>
      </w:r>
      <w:r>
        <w:rPr>
          <w:rFonts w:hint="eastAsia" w:ascii="仿宋" w:hAnsi="仿宋" w:eastAsia="仿宋" w:cs="仿宋"/>
          <w:bCs w:val="0"/>
          <w:sz w:val="28"/>
          <w:szCs w:val="28"/>
        </w:rPr>
        <w:t>九、实施国家标准的要求，以及组织措施、技术措施、过渡期和实施日期的建议等措施建议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_Toc32642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2DA0ECDD">
      <w:pPr>
        <w:pStyle w:val="16"/>
        <w:tabs>
          <w:tab w:val="right" w:leader="dot" w:pos="8306"/>
        </w:tabs>
        <w:rPr>
          <w:rFonts w:hint="eastAsia" w:ascii="仿宋" w:hAnsi="仿宋" w:eastAsia="仿宋" w:cs="仿宋"/>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sz w:val="28"/>
          <w:szCs w:val="28"/>
        </w:rPr>
        <w:instrText xml:space="preserve"> HYPERLINK \l _Toc28485 </w:instrText>
      </w:r>
      <w:r>
        <w:rPr>
          <w:rFonts w:hint="eastAsia" w:ascii="仿宋" w:hAnsi="仿宋" w:eastAsia="仿宋" w:cs="仿宋"/>
          <w:bCs/>
          <w:sz w:val="28"/>
          <w:szCs w:val="28"/>
        </w:rPr>
        <w:fldChar w:fldCharType="separate"/>
      </w:r>
      <w:r>
        <w:rPr>
          <w:rFonts w:hint="eastAsia" w:ascii="仿宋" w:hAnsi="仿宋" w:eastAsia="仿宋" w:cs="仿宋"/>
          <w:bCs w:val="0"/>
          <w:sz w:val="28"/>
          <w:szCs w:val="28"/>
        </w:rPr>
        <w:t>十、其他应当说明的事项</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_Toc28485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color w:val="auto"/>
          <w:sz w:val="28"/>
          <w:szCs w:val="28"/>
        </w:rPr>
        <w:fldChar w:fldCharType="end"/>
      </w:r>
    </w:p>
    <w:p w14:paraId="54780ED9">
      <w:pPr>
        <w:pStyle w:val="41"/>
        <w:pageBreakBefore w:val="0"/>
        <w:kinsoku/>
        <w:wordWrap/>
        <w:overflowPunct/>
        <w:topLinePunct w:val="0"/>
        <w:autoSpaceDE/>
        <w:autoSpaceDN/>
        <w:bidi w:val="0"/>
        <w:adjustRightInd/>
        <w:snapToGrid/>
        <w:spacing w:before="0"/>
        <w:ind w:firstLine="0" w:firstLineChars="0"/>
        <w:jc w:val="center"/>
        <w:textAlignment w:val="auto"/>
        <w:rPr>
          <w:rFonts w:ascii="仿宋" w:hAnsi="仿宋" w:eastAsia="仿宋"/>
        </w:rPr>
        <w:sectPr>
          <w:footerReference r:id="rId5" w:type="default"/>
          <w:type w:val="continuous"/>
          <w:pgSz w:w="11906" w:h="16838"/>
          <w:pgMar w:top="1440" w:right="1800" w:bottom="1440" w:left="1800" w:header="851" w:footer="992" w:gutter="0"/>
          <w:pgNumType w:fmt="upperRoman" w:start="1"/>
          <w:cols w:space="720" w:num="1"/>
          <w:docGrid w:type="lines" w:linePitch="312" w:charSpace="0"/>
        </w:sectPr>
      </w:pPr>
      <w:r>
        <w:rPr>
          <w:rFonts w:ascii="仿宋" w:hAnsi="仿宋" w:eastAsia="仿宋"/>
          <w:b/>
          <w:bCs/>
          <w:color w:val="auto"/>
          <w:sz w:val="24"/>
          <w:szCs w:val="24"/>
        </w:rPr>
        <w:fldChar w:fldCharType="end"/>
      </w:r>
      <w:bookmarkEnd w:id="0"/>
    </w:p>
    <w:p w14:paraId="5263E50E">
      <w:pPr>
        <w:pStyle w:val="2"/>
        <w:keepNext w:val="0"/>
        <w:keepLines/>
        <w:pageBreakBefore w:val="0"/>
        <w:widowControl w:val="0"/>
        <w:numPr>
          <w:ilvl w:val="0"/>
          <w:numId w:val="0"/>
        </w:numPr>
        <w:tabs>
          <w:tab w:val="left" w:pos="420"/>
        </w:tabs>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b/>
          <w:szCs w:val="28"/>
        </w:rPr>
      </w:pPr>
      <w:bookmarkStart w:id="2" w:name="_Toc27187"/>
      <w:bookmarkStart w:id="3" w:name="_Toc133052539"/>
      <w:bookmarkStart w:id="4" w:name="_Toc133102714"/>
      <w:bookmarkStart w:id="5" w:name="_Toc133102643"/>
      <w:bookmarkStart w:id="6" w:name="_Toc31161"/>
      <w:r>
        <w:rPr>
          <w:rFonts w:hint="eastAsia" w:ascii="仿宋" w:hAnsi="仿宋" w:eastAsia="仿宋"/>
          <w:b/>
          <w:szCs w:val="28"/>
        </w:rPr>
        <w:t>一、工作简况</w:t>
      </w:r>
      <w:bookmarkEnd w:id="1"/>
      <w:bookmarkEnd w:id="2"/>
      <w:bookmarkEnd w:id="3"/>
      <w:bookmarkEnd w:id="4"/>
      <w:bookmarkEnd w:id="5"/>
      <w:bookmarkEnd w:id="6"/>
    </w:p>
    <w:p w14:paraId="5A615ED1">
      <w:pPr>
        <w:pageBreakBefore w:val="0"/>
        <w:kinsoku/>
        <w:wordWrap/>
        <w:overflowPunct/>
        <w:topLinePunct w:val="0"/>
        <w:autoSpaceDE/>
        <w:autoSpaceDN/>
        <w:bidi w:val="0"/>
        <w:spacing w:line="360" w:lineRule="auto"/>
        <w:ind w:firstLine="560" w:firstLineChars="200"/>
        <w:rPr>
          <w:rFonts w:ascii="仿宋" w:hAnsi="仿宋" w:eastAsia="仿宋"/>
          <w:b/>
          <w:sz w:val="28"/>
          <w:szCs w:val="28"/>
        </w:rPr>
      </w:pPr>
      <w:bookmarkStart w:id="7" w:name="_Toc133102644"/>
      <w:bookmarkStart w:id="8" w:name="_Toc133052540"/>
      <w:bookmarkStart w:id="9" w:name="_Toc482017026"/>
      <w:bookmarkStart w:id="10" w:name="_Toc133102715"/>
      <w:r>
        <w:rPr>
          <w:rFonts w:hint="eastAsia" w:ascii="仿宋" w:hAnsi="仿宋" w:eastAsia="仿宋"/>
          <w:b/>
          <w:sz w:val="28"/>
          <w:szCs w:val="28"/>
        </w:rPr>
        <w:t>1.1 任务来源</w:t>
      </w:r>
    </w:p>
    <w:p w14:paraId="56879363">
      <w:pPr>
        <w:pageBreakBefore w:val="0"/>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废旧农业机械回收体系建设规范》是全国农业机械标准化技术委员会归口管理的国家重点标准，该项目被列入了《以标准升级促进经济高质量发展工作方案》《以标准提升牵引设备更新和消费品以旧换新行动方案》中的重点国家标准项目清单。2024年4月28日，</w:t>
      </w:r>
      <w:r>
        <w:rPr>
          <w:rFonts w:hint="eastAsia" w:ascii="仿宋" w:hAnsi="仿宋" w:eastAsia="仿宋"/>
          <w:sz w:val="28"/>
          <w:szCs w:val="28"/>
          <w:lang w:eastAsia="zh-CN"/>
        </w:rPr>
        <w:t>国家市场监督管理总局标准技术管理司</w:t>
      </w:r>
      <w:r>
        <w:rPr>
          <w:rFonts w:hint="eastAsia" w:ascii="仿宋" w:hAnsi="仿宋" w:eastAsia="仿宋"/>
          <w:sz w:val="28"/>
          <w:szCs w:val="28"/>
        </w:rPr>
        <w:t>下达“两个方案”重要标准《项目立项书》的通知，正式将《废旧农业机械回收体系建设规范》推荐性国家标准研制任务列于其中</w:t>
      </w:r>
      <w:r>
        <w:rPr>
          <w:rFonts w:hint="eastAsia" w:ascii="仿宋" w:hAnsi="仿宋" w:eastAsia="仿宋"/>
          <w:sz w:val="28"/>
          <w:szCs w:val="28"/>
          <w:lang w:eastAsia="zh-CN"/>
        </w:rPr>
        <w:t>。</w:t>
      </w:r>
      <w:r>
        <w:rPr>
          <w:rFonts w:hint="eastAsia" w:ascii="仿宋" w:hAnsi="仿宋" w:eastAsia="仿宋"/>
          <w:sz w:val="28"/>
          <w:szCs w:val="28"/>
        </w:rPr>
        <w:t>根据《国家标准化管理委员会关于下达2024年第三批推荐性国家标准计划及相关标准外文版计划的通知》（国标委发〔2024〕25号），2024年5月31日</w:t>
      </w:r>
      <w:r>
        <w:rPr>
          <w:rFonts w:hint="eastAsia" w:ascii="仿宋" w:hAnsi="仿宋" w:eastAsia="仿宋"/>
          <w:sz w:val="28"/>
          <w:szCs w:val="28"/>
          <w:lang w:eastAsia="zh-CN"/>
        </w:rPr>
        <w:t>，</w:t>
      </w:r>
      <w:r>
        <w:rPr>
          <w:rFonts w:hint="eastAsia" w:ascii="仿宋" w:hAnsi="仿宋" w:eastAsia="仿宋"/>
          <w:sz w:val="28"/>
          <w:szCs w:val="28"/>
        </w:rPr>
        <w:t>国家标准化管理委员会下达《废旧农业机械回收体系建设规范》</w:t>
      </w:r>
      <w:r>
        <w:rPr>
          <w:rFonts w:hint="eastAsia" w:ascii="仿宋" w:hAnsi="仿宋" w:eastAsia="仿宋"/>
          <w:sz w:val="28"/>
          <w:szCs w:val="28"/>
          <w:lang w:val="en-US" w:eastAsia="zh-CN"/>
        </w:rPr>
        <w:t>推荐性国家标准计划，</w:t>
      </w:r>
      <w:r>
        <w:rPr>
          <w:rFonts w:hint="eastAsia" w:ascii="仿宋" w:hAnsi="仿宋" w:eastAsia="仿宋"/>
          <w:sz w:val="28"/>
          <w:szCs w:val="28"/>
        </w:rPr>
        <w:t>项目计划号为20241780-T-604。</w:t>
      </w:r>
    </w:p>
    <w:p w14:paraId="4EE17141">
      <w:pPr>
        <w:pageBreakBefore w:val="0"/>
        <w:kinsoku/>
        <w:wordWrap/>
        <w:overflowPunct/>
        <w:topLinePunct w:val="0"/>
        <w:autoSpaceDE/>
        <w:autoSpaceDN/>
        <w:bidi w:val="0"/>
        <w:ind w:firstLine="560" w:firstLineChars="200"/>
        <w:rPr>
          <w:rFonts w:ascii="仿宋" w:hAnsi="仿宋" w:eastAsia="仿宋"/>
          <w:b/>
          <w:sz w:val="28"/>
          <w:szCs w:val="28"/>
        </w:rPr>
      </w:pPr>
      <w:r>
        <w:rPr>
          <w:rFonts w:hint="eastAsia" w:ascii="仿宋" w:hAnsi="仿宋" w:eastAsia="仿宋"/>
          <w:b/>
          <w:sz w:val="28"/>
          <w:szCs w:val="28"/>
        </w:rPr>
        <w:t>1.2 制定背景和意义</w:t>
      </w:r>
    </w:p>
    <w:p w14:paraId="68337C1D">
      <w:pPr>
        <w:pageBreakBefore w:val="0"/>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随着中国农业现代化进程的推进，农机装备的使用量逐渐增加</w:t>
      </w:r>
      <w:r>
        <w:rPr>
          <w:rFonts w:hint="eastAsia" w:ascii="仿宋" w:hAnsi="仿宋" w:eastAsia="仿宋"/>
          <w:sz w:val="28"/>
          <w:szCs w:val="28"/>
          <w:lang w:eastAsia="zh-CN"/>
        </w:rPr>
        <w:t>。</w:t>
      </w:r>
      <w:r>
        <w:rPr>
          <w:rFonts w:hint="eastAsia" w:ascii="仿宋" w:hAnsi="仿宋" w:eastAsia="仿宋"/>
          <w:sz w:val="28"/>
          <w:szCs w:val="28"/>
        </w:rPr>
        <w:t>根据国家统计局数据，2017</w:t>
      </w:r>
      <w:r>
        <w:rPr>
          <w:rFonts w:hint="eastAsia" w:ascii="仿宋" w:hAnsi="仿宋" w:eastAsia="仿宋"/>
          <w:sz w:val="28"/>
          <w:szCs w:val="28"/>
          <w:lang w:eastAsia="zh-CN"/>
        </w:rPr>
        <w:t>—</w:t>
      </w:r>
      <w:r>
        <w:rPr>
          <w:rFonts w:hint="eastAsia" w:ascii="仿宋" w:hAnsi="仿宋" w:eastAsia="仿宋"/>
          <w:sz w:val="28"/>
          <w:szCs w:val="28"/>
        </w:rPr>
        <w:t>2023年，中国农业机械总动力不断上升，农业农村部印发《“十四五”全国农业机械化发展规划》，明确到2025年全国农机总动力稳定在11亿千瓦左右。2035年，主要农作物生产实现全过程机械化，农业生产基本实现机械化全覆盖，机械化全程全面和高质量支撑农业农村现代化的格局基本形成。这一发展为农业现代化建设提供了有力的机械化支撑，但同时也产生了大量废旧农业机械</w:t>
      </w:r>
      <w:r>
        <w:rPr>
          <w:rFonts w:hint="eastAsia" w:ascii="仿宋" w:hAnsi="仿宋" w:eastAsia="仿宋"/>
          <w:sz w:val="28"/>
          <w:szCs w:val="28"/>
          <w:lang w:eastAsia="zh-CN"/>
        </w:rPr>
        <w:t>，</w:t>
      </w:r>
      <w:r>
        <w:rPr>
          <w:rFonts w:hint="eastAsia" w:ascii="仿宋" w:hAnsi="仿宋" w:eastAsia="仿宋"/>
          <w:sz w:val="28"/>
          <w:szCs w:val="28"/>
          <w:lang w:val="en-US" w:eastAsia="zh-CN"/>
        </w:rPr>
        <w:t>废旧农业机械也称报废农业机械</w:t>
      </w:r>
      <w:r>
        <w:rPr>
          <w:rFonts w:hint="eastAsia" w:ascii="仿宋" w:hAnsi="仿宋" w:eastAsia="仿宋"/>
          <w:sz w:val="28"/>
          <w:szCs w:val="28"/>
        </w:rPr>
        <w:t>。</w:t>
      </w:r>
    </w:p>
    <w:p w14:paraId="1D8602C0">
      <w:pPr>
        <w:pageBreakBefore w:val="0"/>
        <w:kinsoku/>
        <w:wordWrap/>
        <w:overflowPunct/>
        <w:topLinePunct w:val="0"/>
        <w:autoSpaceDE/>
        <w:autoSpaceDN/>
        <w:bidi w:val="0"/>
        <w:ind w:firstLine="560" w:firstLineChars="200"/>
        <w:rPr>
          <w:rFonts w:hint="default" w:ascii="仿宋" w:hAnsi="仿宋" w:eastAsia="仿宋"/>
          <w:color w:val="4472C4" w:themeColor="accent1"/>
          <w:sz w:val="28"/>
          <w:szCs w:val="28"/>
          <w:lang w:val="en-US" w:eastAsia="zh-CN"/>
          <w14:textFill>
            <w14:solidFill>
              <w14:schemeClr w14:val="accent1"/>
            </w14:solidFill>
          </w14:textFill>
        </w:rPr>
      </w:pPr>
      <w:r>
        <w:rPr>
          <w:rFonts w:hint="eastAsia" w:ascii="仿宋" w:hAnsi="仿宋" w:eastAsia="仿宋"/>
          <w:sz w:val="28"/>
          <w:szCs w:val="28"/>
          <w:lang w:val="en-US" w:eastAsia="zh-CN"/>
        </w:rPr>
        <w:t>目前，报废农业机械回收过程缺乏系统的管理和规范，回收行业发展中存在着产业体系不够完整、市场机制尚不健全等问题，回收体系不完善。一是回收缺乏专业的回收机构和人员，回收渠道单一，农民交售渠道有限，回收成本高，技术落后，这增加了报废农业机械回收的难度。二是拆解中心的建设不规范，缺乏规范性引导。三是缺乏相关信息化管理平台，不利于</w:t>
      </w:r>
      <w:r>
        <w:rPr>
          <w:rFonts w:hint="eastAsia" w:ascii="仿宋" w:hAnsi="仿宋" w:eastAsia="仿宋"/>
          <w:color w:val="auto"/>
          <w:sz w:val="28"/>
          <w:szCs w:val="28"/>
          <w:lang w:val="en-US" w:eastAsia="zh-CN"/>
        </w:rPr>
        <w:t>报废农业机械流通的监管、追溯和管控等。</w:t>
      </w:r>
    </w:p>
    <w:p w14:paraId="52280C99">
      <w:pPr>
        <w:pageBreakBefore w:val="0"/>
        <w:kinsoku/>
        <w:wordWrap/>
        <w:overflowPunct/>
        <w:topLinePunct w:val="0"/>
        <w:autoSpaceDE/>
        <w:autoSpaceDN/>
        <w:bidi w:val="0"/>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针对以上存在的问题，我国报废农业机械回收行业市场规模不断扩大、回收体系逐步完善、技术创新不断推进。</w:t>
      </w:r>
      <w:r>
        <w:rPr>
          <w:rFonts w:hint="eastAsia" w:ascii="仿宋" w:hAnsi="仿宋" w:eastAsia="仿宋"/>
          <w:sz w:val="28"/>
          <w:szCs w:val="28"/>
        </w:rPr>
        <w:t>《关于加快废旧物资循环利用体系建设的指导意见》（发改环资〔2022〕109号）、《关于加快构建废弃物循环利用体系的意见》（国办发〔2024〕7号）和《关于健全废旧家电家具等再生资源回收体系的通知》（商流通发〔2024〕18号）</w:t>
      </w:r>
      <w:r>
        <w:rPr>
          <w:rFonts w:hint="eastAsia" w:ascii="仿宋" w:hAnsi="仿宋" w:eastAsia="仿宋"/>
          <w:sz w:val="28"/>
          <w:szCs w:val="28"/>
          <w:lang w:val="en-US" w:eastAsia="zh-CN"/>
        </w:rPr>
        <w:t>等政策的出台对</w:t>
      </w:r>
      <w:r>
        <w:rPr>
          <w:rFonts w:hint="default" w:ascii="仿宋" w:hAnsi="仿宋" w:eastAsia="仿宋"/>
          <w:sz w:val="28"/>
          <w:szCs w:val="28"/>
          <w:lang w:val="en-US" w:eastAsia="zh-CN"/>
        </w:rPr>
        <w:t>建立健全循环利用体系，</w:t>
      </w:r>
      <w:r>
        <w:rPr>
          <w:rFonts w:hint="eastAsia" w:ascii="仿宋" w:hAnsi="仿宋" w:eastAsia="仿宋"/>
          <w:sz w:val="28"/>
          <w:szCs w:val="28"/>
          <w:lang w:val="en-US" w:eastAsia="zh-CN"/>
        </w:rPr>
        <w:t>对</w:t>
      </w:r>
      <w:r>
        <w:rPr>
          <w:rFonts w:hint="default" w:ascii="仿宋" w:hAnsi="仿宋" w:eastAsia="仿宋"/>
          <w:sz w:val="28"/>
          <w:szCs w:val="28"/>
          <w:lang w:val="en-US" w:eastAsia="zh-CN"/>
        </w:rPr>
        <w:t>提高资源循环利用水平，促进绿色低碳循环发展</w:t>
      </w:r>
      <w:r>
        <w:rPr>
          <w:rFonts w:hint="eastAsia" w:ascii="仿宋" w:hAnsi="仿宋" w:eastAsia="仿宋"/>
          <w:sz w:val="28"/>
          <w:szCs w:val="28"/>
          <w:lang w:val="en-US" w:eastAsia="zh-CN"/>
        </w:rPr>
        <w:t>提出了更高的要求。</w:t>
      </w:r>
    </w:p>
    <w:p w14:paraId="6A1D1150">
      <w:pPr>
        <w:pageBreakBefore w:val="0"/>
        <w:kinsoku/>
        <w:wordWrap/>
        <w:overflowPunct/>
        <w:topLinePunct w:val="0"/>
        <w:autoSpaceDE/>
        <w:autoSpaceDN/>
        <w:bidi w:val="0"/>
        <w:ind w:firstLine="560" w:firstLineChars="200"/>
        <w:rPr>
          <w:rFonts w:hint="default" w:ascii="仿宋" w:hAnsi="仿宋" w:eastAsia="仿宋"/>
          <w:b/>
          <w:sz w:val="28"/>
          <w:szCs w:val="28"/>
          <w:lang w:val="en-US" w:eastAsia="zh-CN"/>
        </w:rPr>
      </w:pPr>
      <w:r>
        <w:rPr>
          <w:rFonts w:hint="eastAsia" w:ascii="仿宋" w:hAnsi="仿宋" w:eastAsia="仿宋"/>
          <w:sz w:val="28"/>
          <w:szCs w:val="28"/>
        </w:rPr>
        <w:t>为贯彻落实国务院《推动大规模设备更新和消费品以旧换新行动方案》部署，</w:t>
      </w:r>
      <w:r>
        <w:rPr>
          <w:rFonts w:hint="eastAsia" w:ascii="仿宋" w:hAnsi="仿宋" w:eastAsia="仿宋"/>
          <w:sz w:val="28"/>
          <w:szCs w:val="28"/>
          <w:lang w:val="en-US" w:eastAsia="zh-CN"/>
        </w:rPr>
        <w:t>减少因报废农业机械堆放等不合理处理而造成资源浪费，</w:t>
      </w:r>
      <w:r>
        <w:rPr>
          <w:rFonts w:hint="eastAsia" w:ascii="仿宋" w:hAnsi="仿宋" w:eastAsia="仿宋"/>
          <w:sz w:val="28"/>
          <w:szCs w:val="28"/>
        </w:rPr>
        <w:t>促进耗能高、污染重、安全性能低的</w:t>
      </w:r>
      <w:r>
        <w:rPr>
          <w:rFonts w:hint="eastAsia" w:ascii="仿宋" w:hAnsi="仿宋" w:eastAsia="仿宋"/>
          <w:sz w:val="28"/>
          <w:szCs w:val="28"/>
          <w:lang w:val="en-US" w:eastAsia="zh-CN"/>
        </w:rPr>
        <w:t>报废农业机械</w:t>
      </w:r>
      <w:r>
        <w:rPr>
          <w:rFonts w:hint="eastAsia" w:ascii="仿宋" w:hAnsi="仿宋" w:eastAsia="仿宋"/>
          <w:sz w:val="28"/>
          <w:szCs w:val="28"/>
        </w:rPr>
        <w:t>淘汰，推动农业机械化升级和农业高质量、绿色发展</w:t>
      </w:r>
      <w:r>
        <w:rPr>
          <w:rFonts w:hint="eastAsia" w:ascii="仿宋" w:hAnsi="仿宋" w:eastAsia="仿宋"/>
          <w:sz w:val="28"/>
          <w:szCs w:val="28"/>
          <w:lang w:eastAsia="zh-CN"/>
        </w:rPr>
        <w:t>，</w:t>
      </w:r>
      <w:r>
        <w:rPr>
          <w:rFonts w:hint="eastAsia" w:ascii="仿宋" w:hAnsi="仿宋" w:eastAsia="仿宋"/>
          <w:sz w:val="28"/>
          <w:szCs w:val="28"/>
        </w:rPr>
        <w:t>实现</w:t>
      </w:r>
      <w:r>
        <w:rPr>
          <w:rFonts w:hint="eastAsia" w:ascii="仿宋" w:hAnsi="仿宋" w:eastAsia="仿宋"/>
          <w:sz w:val="28"/>
          <w:szCs w:val="28"/>
          <w:lang w:val="en-US" w:eastAsia="zh-CN"/>
        </w:rPr>
        <w:t>报废农业机械</w:t>
      </w:r>
      <w:r>
        <w:rPr>
          <w:rFonts w:hint="eastAsia" w:ascii="仿宋" w:hAnsi="仿宋" w:eastAsia="仿宋"/>
          <w:sz w:val="28"/>
          <w:szCs w:val="28"/>
        </w:rPr>
        <w:t>资源、环境与经济效益的最大化，从而有助于推进资源节约和助力实现“碳达峰、碳中和”，</w:t>
      </w:r>
      <w:r>
        <w:rPr>
          <w:rFonts w:hint="eastAsia" w:ascii="仿宋" w:hAnsi="仿宋" w:eastAsia="仿宋"/>
          <w:sz w:val="28"/>
          <w:szCs w:val="28"/>
          <w:lang w:val="en-US" w:eastAsia="zh-CN"/>
        </w:rPr>
        <w:t>特</w:t>
      </w:r>
      <w:r>
        <w:rPr>
          <w:rFonts w:hint="eastAsia" w:ascii="仿宋" w:hAnsi="仿宋" w:eastAsia="仿宋"/>
          <w:sz w:val="28"/>
          <w:szCs w:val="28"/>
        </w:rPr>
        <w:t>提出推荐性国家标准《</w:t>
      </w:r>
      <w:r>
        <w:rPr>
          <w:rFonts w:hint="eastAsia" w:ascii="仿宋" w:hAnsi="仿宋" w:eastAsia="仿宋"/>
          <w:sz w:val="28"/>
          <w:szCs w:val="28"/>
          <w:lang w:val="en-US" w:eastAsia="zh-CN"/>
        </w:rPr>
        <w:t>废旧农业机械回收体系建设规范</w:t>
      </w:r>
      <w:r>
        <w:rPr>
          <w:rFonts w:hint="eastAsia" w:ascii="仿宋" w:hAnsi="仿宋" w:eastAsia="仿宋"/>
          <w:sz w:val="28"/>
          <w:szCs w:val="28"/>
        </w:rPr>
        <w:t>》的制定建议。</w:t>
      </w:r>
    </w:p>
    <w:p w14:paraId="6A96978B">
      <w:pPr>
        <w:pageBreakBefore w:val="0"/>
        <w:kinsoku/>
        <w:wordWrap/>
        <w:overflowPunct/>
        <w:topLinePunct w:val="0"/>
        <w:autoSpaceDE/>
        <w:autoSpaceDN/>
        <w:bidi w:val="0"/>
        <w:spacing w:line="360" w:lineRule="auto"/>
        <w:ind w:firstLine="560" w:firstLineChars="200"/>
        <w:rPr>
          <w:rFonts w:ascii="仿宋" w:hAnsi="仿宋" w:eastAsia="仿宋"/>
          <w:b/>
          <w:sz w:val="28"/>
          <w:szCs w:val="28"/>
        </w:rPr>
      </w:pPr>
      <w:r>
        <w:rPr>
          <w:rFonts w:hint="eastAsia" w:ascii="仿宋" w:hAnsi="仿宋" w:eastAsia="仿宋"/>
          <w:b/>
          <w:sz w:val="28"/>
          <w:szCs w:val="28"/>
        </w:rPr>
        <w:t>1.</w:t>
      </w:r>
      <w:r>
        <w:rPr>
          <w:rFonts w:hint="eastAsia" w:ascii="仿宋" w:hAnsi="仿宋" w:eastAsia="仿宋"/>
          <w:b/>
          <w:sz w:val="28"/>
          <w:szCs w:val="28"/>
          <w:lang w:val="en-US" w:eastAsia="zh-CN"/>
        </w:rPr>
        <w:t>3</w:t>
      </w:r>
      <w:r>
        <w:rPr>
          <w:rFonts w:hint="eastAsia" w:ascii="仿宋" w:hAnsi="仿宋" w:eastAsia="仿宋"/>
          <w:b/>
          <w:sz w:val="28"/>
          <w:szCs w:val="28"/>
        </w:rPr>
        <w:t xml:space="preserve"> 主要工作过程</w:t>
      </w:r>
    </w:p>
    <w:p w14:paraId="2477F274">
      <w:pPr>
        <w:pageBreakBefore w:val="0"/>
        <w:tabs>
          <w:tab w:val="left" w:pos="2940"/>
        </w:tabs>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sz w:val="28"/>
          <w:szCs w:val="28"/>
        </w:rPr>
        <w:t>（1）预研阶段</w:t>
      </w:r>
    </w:p>
    <w:p w14:paraId="6FE548BD">
      <w:pPr>
        <w:pageBreakBefore w:val="0"/>
        <w:tabs>
          <w:tab w:val="left" w:pos="2940"/>
        </w:tabs>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eastAsia="zh-CN"/>
        </w:rPr>
        <w:t>4</w:t>
      </w:r>
      <w:r>
        <w:rPr>
          <w:rFonts w:hint="eastAsia" w:ascii="仿宋" w:hAnsi="仿宋" w:eastAsia="仿宋"/>
          <w:sz w:val="28"/>
          <w:szCs w:val="28"/>
        </w:rPr>
        <w:t>年</w:t>
      </w:r>
      <w:r>
        <w:rPr>
          <w:rFonts w:hint="eastAsia" w:ascii="仿宋" w:hAnsi="仿宋" w:eastAsia="仿宋"/>
          <w:sz w:val="28"/>
          <w:szCs w:val="28"/>
          <w:lang w:val="en-US" w:eastAsia="zh-CN"/>
        </w:rPr>
        <w:t>3</w:t>
      </w:r>
      <w:r>
        <w:rPr>
          <w:rFonts w:hint="eastAsia" w:ascii="仿宋" w:hAnsi="仿宋" w:eastAsia="仿宋"/>
          <w:sz w:val="28"/>
          <w:szCs w:val="28"/>
        </w:rPr>
        <w:t>月起，</w:t>
      </w:r>
      <w:r>
        <w:rPr>
          <w:rFonts w:hint="eastAsia" w:ascii="仿宋" w:hAnsi="仿宋" w:eastAsia="仿宋"/>
          <w:sz w:val="28"/>
          <w:szCs w:val="28"/>
          <w:highlight w:val="none"/>
        </w:rPr>
        <w:t>标准起草单位</w:t>
      </w:r>
      <w:r>
        <w:rPr>
          <w:rFonts w:hint="eastAsia" w:ascii="仿宋" w:hAnsi="仿宋" w:eastAsia="仿宋"/>
          <w:sz w:val="28"/>
          <w:szCs w:val="28"/>
        </w:rPr>
        <w:t>通过调研国内</w:t>
      </w:r>
      <w:r>
        <w:rPr>
          <w:rFonts w:hint="eastAsia" w:ascii="仿宋" w:hAnsi="仿宋" w:eastAsia="仿宋"/>
          <w:sz w:val="28"/>
          <w:szCs w:val="28"/>
          <w:lang w:val="en-US" w:eastAsia="zh-CN"/>
        </w:rPr>
        <w:t>报废农业机械回收拆解企业、</w:t>
      </w:r>
      <w:r>
        <w:rPr>
          <w:rFonts w:hint="eastAsia" w:ascii="仿宋" w:hAnsi="仿宋" w:eastAsia="仿宋"/>
          <w:sz w:val="28"/>
          <w:szCs w:val="28"/>
        </w:rPr>
        <w:t>报废机动车回收拆解企业</w:t>
      </w:r>
      <w:r>
        <w:rPr>
          <w:rFonts w:hint="eastAsia" w:ascii="仿宋" w:hAnsi="仿宋" w:eastAsia="仿宋"/>
          <w:sz w:val="28"/>
          <w:szCs w:val="28"/>
          <w:lang w:val="en-US" w:eastAsia="zh-CN"/>
        </w:rPr>
        <w:t>和回收网点等</w:t>
      </w:r>
      <w:r>
        <w:rPr>
          <w:rFonts w:hint="eastAsia" w:ascii="仿宋" w:hAnsi="仿宋" w:eastAsia="仿宋"/>
          <w:sz w:val="28"/>
          <w:szCs w:val="28"/>
        </w:rPr>
        <w:t>，</w:t>
      </w:r>
      <w:r>
        <w:rPr>
          <w:rFonts w:hint="eastAsia" w:ascii="仿宋" w:hAnsi="仿宋" w:eastAsia="仿宋"/>
          <w:sz w:val="28"/>
          <w:szCs w:val="28"/>
          <w:lang w:val="en-US" w:eastAsia="zh-CN"/>
        </w:rPr>
        <w:t>深入了解报废农业机械的回收、拆解、后处理、利用等流程，对报废</w:t>
      </w:r>
      <w:r>
        <w:rPr>
          <w:rFonts w:hint="eastAsia" w:ascii="仿宋" w:hAnsi="仿宋" w:eastAsia="仿宋"/>
          <w:sz w:val="28"/>
          <w:szCs w:val="28"/>
        </w:rPr>
        <w:t>农业机械</w:t>
      </w:r>
      <w:r>
        <w:rPr>
          <w:rFonts w:hint="eastAsia" w:ascii="仿宋" w:hAnsi="仿宋" w:eastAsia="仿宋"/>
          <w:sz w:val="28"/>
          <w:szCs w:val="28"/>
          <w:lang w:val="en-US" w:eastAsia="zh-CN"/>
        </w:rPr>
        <w:t>回收、拆解等行业发展现状有了更加清晰深刻的认识，</w:t>
      </w:r>
      <w:r>
        <w:rPr>
          <w:rFonts w:hint="eastAsia" w:ascii="仿宋" w:hAnsi="仿宋" w:eastAsia="仿宋"/>
          <w:sz w:val="28"/>
          <w:szCs w:val="28"/>
        </w:rPr>
        <w:t>针对目前</w:t>
      </w:r>
      <w:r>
        <w:rPr>
          <w:rFonts w:hint="eastAsia" w:ascii="仿宋" w:hAnsi="仿宋" w:eastAsia="仿宋"/>
          <w:sz w:val="28"/>
          <w:szCs w:val="28"/>
          <w:lang w:val="en-US" w:eastAsia="zh-CN"/>
        </w:rPr>
        <w:t>报废农业机械拆解和回收存在的问题</w:t>
      </w:r>
      <w:r>
        <w:rPr>
          <w:rFonts w:hint="eastAsia" w:ascii="仿宋" w:hAnsi="仿宋" w:eastAsia="仿宋"/>
          <w:sz w:val="28"/>
          <w:szCs w:val="28"/>
        </w:rPr>
        <w:t>，</w:t>
      </w:r>
      <w:r>
        <w:rPr>
          <w:rFonts w:hint="eastAsia" w:ascii="仿宋" w:hAnsi="仿宋" w:eastAsia="仿宋"/>
          <w:sz w:val="28"/>
          <w:szCs w:val="28"/>
          <w:lang w:val="en-US" w:eastAsia="zh-CN"/>
        </w:rPr>
        <w:t>特</w:t>
      </w:r>
      <w:r>
        <w:rPr>
          <w:rFonts w:hint="eastAsia" w:ascii="仿宋" w:hAnsi="仿宋" w:eastAsia="仿宋"/>
          <w:sz w:val="28"/>
          <w:szCs w:val="28"/>
        </w:rPr>
        <w:t>提出本标准的制定。</w:t>
      </w:r>
    </w:p>
    <w:p w14:paraId="2DA1C354">
      <w:pPr>
        <w:pageBreakBefore w:val="0"/>
        <w:tabs>
          <w:tab w:val="left" w:pos="2940"/>
        </w:tabs>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期间，</w:t>
      </w:r>
      <w:r>
        <w:rPr>
          <w:rFonts w:hint="eastAsia" w:ascii="仿宋" w:hAnsi="仿宋" w:eastAsia="仿宋"/>
          <w:sz w:val="28"/>
          <w:szCs w:val="28"/>
          <w:highlight w:val="none"/>
        </w:rPr>
        <w:t>标准起草单位</w:t>
      </w:r>
      <w:r>
        <w:rPr>
          <w:rFonts w:hint="eastAsia" w:ascii="仿宋" w:hAnsi="仿宋" w:eastAsia="仿宋"/>
          <w:sz w:val="28"/>
          <w:szCs w:val="28"/>
        </w:rPr>
        <w:t>梳理了现有关于</w:t>
      </w:r>
      <w:r>
        <w:rPr>
          <w:rFonts w:hint="eastAsia" w:ascii="仿宋" w:hAnsi="仿宋" w:eastAsia="仿宋"/>
          <w:sz w:val="28"/>
          <w:szCs w:val="28"/>
          <w:lang w:val="en-US" w:eastAsia="zh-CN"/>
        </w:rPr>
        <w:t>报废农业机械回收</w:t>
      </w:r>
      <w:r>
        <w:rPr>
          <w:rFonts w:hint="eastAsia" w:ascii="仿宋" w:hAnsi="仿宋" w:eastAsia="仿宋"/>
          <w:sz w:val="28"/>
          <w:szCs w:val="28"/>
        </w:rPr>
        <w:t>相关的标准和法律法规情况，为本标准的制定提供了参考和依据，相关标准见表</w:t>
      </w:r>
      <w:r>
        <w:rPr>
          <w:rFonts w:hint="eastAsia" w:ascii="仿宋" w:hAnsi="仿宋" w:eastAsia="仿宋"/>
          <w:sz w:val="28"/>
          <w:szCs w:val="28"/>
          <w:lang w:val="en-US" w:eastAsia="zh-CN"/>
        </w:rPr>
        <w:t>1</w:t>
      </w:r>
      <w:r>
        <w:rPr>
          <w:rFonts w:hint="eastAsia" w:ascii="仿宋" w:hAnsi="仿宋" w:eastAsia="仿宋"/>
          <w:sz w:val="28"/>
          <w:szCs w:val="28"/>
        </w:rPr>
        <w:t>。</w:t>
      </w:r>
    </w:p>
    <w:p w14:paraId="4235BEC3">
      <w:pPr>
        <w:pageBreakBefore w:val="0"/>
        <w:tabs>
          <w:tab w:val="left" w:pos="2940"/>
        </w:tabs>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农业机械安全监督管理条例》是为了加强农业机械安全监督管理，预防和减少农业机械事故，保障人民生命和财产安全而制定的。该条例适用于在中国境内从事农业机械的生产、销售、维修、使用操作以及安全监督管理等活动。农业机械安全监督管理应遵循以人为本、预防事故、保障安全、促进发展的原则。</w:t>
      </w:r>
      <w:r>
        <w:rPr>
          <w:rFonts w:hint="eastAsia" w:ascii="仿宋" w:hAnsi="仿宋" w:eastAsia="仿宋"/>
          <w:color w:val="000000" w:themeColor="text1"/>
          <w:sz w:val="28"/>
          <w:szCs w:val="28"/>
          <w:lang w:val="en-US" w:eastAsia="zh-CN"/>
          <w14:textFill>
            <w14:solidFill>
              <w14:schemeClr w14:val="tx1"/>
            </w14:solidFill>
          </w14:textFill>
        </w:rPr>
        <w:t>现关于回收体系建设的相关标准较为全面，制定了再生资源、废旧轮胎、可回收物等相关标准。</w:t>
      </w:r>
      <w:r>
        <w:rPr>
          <w:rFonts w:hint="eastAsia" w:ascii="仿宋" w:hAnsi="仿宋" w:eastAsia="仿宋"/>
          <w:sz w:val="28"/>
          <w:szCs w:val="28"/>
        </w:rPr>
        <w:t>本项目涉及</w:t>
      </w:r>
      <w:r>
        <w:rPr>
          <w:rFonts w:hint="eastAsia" w:ascii="仿宋" w:hAnsi="仿宋" w:eastAsia="仿宋"/>
          <w:sz w:val="28"/>
          <w:szCs w:val="28"/>
          <w:lang w:val="en-US" w:eastAsia="zh-CN"/>
        </w:rPr>
        <w:t>废旧农业机械回收体系的建设要求</w:t>
      </w:r>
      <w:r>
        <w:rPr>
          <w:rFonts w:hint="eastAsia" w:ascii="仿宋" w:hAnsi="仿宋" w:eastAsia="仿宋"/>
          <w:sz w:val="28"/>
          <w:szCs w:val="28"/>
        </w:rPr>
        <w:t>，是针对</w:t>
      </w:r>
      <w:r>
        <w:rPr>
          <w:rFonts w:hint="eastAsia" w:ascii="仿宋" w:hAnsi="仿宋" w:eastAsia="仿宋"/>
          <w:sz w:val="28"/>
          <w:szCs w:val="28"/>
          <w:lang w:val="en-US" w:eastAsia="zh-CN"/>
        </w:rPr>
        <w:t>报废农业机械回收过程中</w:t>
      </w:r>
      <w:r>
        <w:rPr>
          <w:rFonts w:hint="eastAsia" w:ascii="仿宋" w:hAnsi="仿宋" w:eastAsia="仿宋"/>
          <w:sz w:val="28"/>
          <w:szCs w:val="28"/>
        </w:rPr>
        <w:t>的各参与主体单位，提出参与主体资质和能力等基本要求，</w:t>
      </w:r>
      <w:r>
        <w:rPr>
          <w:rFonts w:hint="eastAsia" w:ascii="仿宋" w:hAnsi="仿宋" w:eastAsia="仿宋"/>
          <w:sz w:val="28"/>
          <w:szCs w:val="28"/>
          <w:lang w:val="en-US" w:eastAsia="zh-CN"/>
        </w:rPr>
        <w:t>明确其经营范围和职能要求</w:t>
      </w:r>
      <w:r>
        <w:rPr>
          <w:rFonts w:hint="eastAsia" w:ascii="仿宋" w:hAnsi="仿宋" w:eastAsia="仿宋"/>
          <w:sz w:val="28"/>
          <w:szCs w:val="28"/>
        </w:rPr>
        <w:t>，可作为有关主管部门对管理</w:t>
      </w:r>
      <w:r>
        <w:rPr>
          <w:rFonts w:hint="eastAsia" w:ascii="仿宋" w:hAnsi="仿宋" w:eastAsia="仿宋"/>
          <w:sz w:val="28"/>
          <w:szCs w:val="28"/>
          <w:lang w:val="en-US" w:eastAsia="zh-CN"/>
        </w:rPr>
        <w:t>从事报废</w:t>
      </w:r>
      <w:r>
        <w:rPr>
          <w:rFonts w:hint="eastAsia" w:ascii="仿宋" w:hAnsi="仿宋" w:eastAsia="仿宋"/>
          <w:sz w:val="28"/>
          <w:szCs w:val="28"/>
        </w:rPr>
        <w:t>农业机械回收相关企业和对</w:t>
      </w:r>
      <w:r>
        <w:rPr>
          <w:rFonts w:hint="eastAsia" w:ascii="仿宋" w:hAnsi="仿宋" w:eastAsia="仿宋"/>
          <w:sz w:val="28"/>
          <w:szCs w:val="28"/>
          <w:lang w:val="en-US" w:eastAsia="zh-CN"/>
        </w:rPr>
        <w:t>农业机械</w:t>
      </w:r>
      <w:r>
        <w:rPr>
          <w:rFonts w:hint="eastAsia" w:ascii="仿宋" w:hAnsi="仿宋" w:eastAsia="仿宋"/>
          <w:sz w:val="28"/>
          <w:szCs w:val="28"/>
        </w:rPr>
        <w:t>来源、去向监督管理的依据，是现有国家标准计划的重要补充。</w:t>
      </w:r>
    </w:p>
    <w:p w14:paraId="61085D4E">
      <w:pPr>
        <w:keepNext w:val="0"/>
        <w:keepLines w:val="0"/>
        <w:pageBreakBefore w:val="0"/>
        <w:widowControl w:val="0"/>
        <w:tabs>
          <w:tab w:val="left" w:pos="2940"/>
        </w:tabs>
        <w:kinsoku/>
        <w:wordWrap/>
        <w:overflowPunct/>
        <w:topLinePunct w:val="0"/>
        <w:autoSpaceDE/>
        <w:autoSpaceDN/>
        <w:bidi w:val="0"/>
        <w:adjustRightInd/>
        <w:snapToGrid/>
        <w:spacing w:before="156" w:beforeLines="50" w:after="156" w:afterLines="50"/>
        <w:ind w:firstLine="420" w:firstLineChars="200"/>
        <w:jc w:val="center"/>
        <w:textAlignment w:val="auto"/>
        <w:rPr>
          <w:rFonts w:hint="eastAsia" w:ascii="仿宋" w:hAnsi="仿宋" w:eastAsia="仿宋"/>
          <w:sz w:val="28"/>
          <w:szCs w:val="28"/>
        </w:rPr>
      </w:pPr>
      <w:r>
        <w:rPr>
          <w:rFonts w:hint="eastAsia" w:ascii="仿宋" w:hAnsi="仿宋" w:eastAsia="仿宋"/>
          <w:b/>
          <w:bCs/>
          <w:szCs w:val="21"/>
        </w:rPr>
        <w:t>表</w:t>
      </w:r>
      <w:r>
        <w:rPr>
          <w:rFonts w:hint="eastAsia" w:ascii="仿宋" w:hAnsi="仿宋" w:eastAsia="仿宋"/>
          <w:b/>
          <w:bCs/>
          <w:szCs w:val="21"/>
          <w:lang w:val="en-US" w:eastAsia="zh-CN"/>
        </w:rPr>
        <w:t>1</w:t>
      </w:r>
      <w:r>
        <w:rPr>
          <w:rFonts w:hint="eastAsia" w:ascii="仿宋" w:hAnsi="仿宋" w:eastAsia="仿宋"/>
          <w:b/>
          <w:bCs/>
          <w:szCs w:val="21"/>
        </w:rPr>
        <w:t xml:space="preserve"> </w:t>
      </w:r>
      <w:r>
        <w:rPr>
          <w:rFonts w:hint="eastAsia" w:ascii="仿宋" w:hAnsi="仿宋" w:eastAsia="仿宋"/>
          <w:b/>
          <w:bCs/>
          <w:szCs w:val="21"/>
          <w:lang w:eastAsia="zh-CN"/>
        </w:rPr>
        <w:t>废旧农业机械回收体系建设规范</w:t>
      </w:r>
      <w:r>
        <w:rPr>
          <w:rFonts w:hint="eastAsia" w:ascii="仿宋" w:hAnsi="仿宋" w:eastAsia="仿宋"/>
          <w:b/>
          <w:bCs/>
          <w:szCs w:val="21"/>
        </w:rPr>
        <w:t>相关标准</w:t>
      </w:r>
    </w:p>
    <w:tbl>
      <w:tblPr>
        <w:tblStyle w:val="23"/>
        <w:tblW w:w="5000" w:type="pct"/>
        <w:tblInd w:w="0" w:type="dxa"/>
        <w:tblLayout w:type="fixed"/>
        <w:tblCellMar>
          <w:top w:w="0" w:type="dxa"/>
          <w:left w:w="0" w:type="dxa"/>
          <w:bottom w:w="0" w:type="dxa"/>
          <w:right w:w="0" w:type="dxa"/>
        </w:tblCellMar>
      </w:tblPr>
      <w:tblGrid>
        <w:gridCol w:w="733"/>
        <w:gridCol w:w="1912"/>
        <w:gridCol w:w="3228"/>
        <w:gridCol w:w="1562"/>
        <w:gridCol w:w="1165"/>
      </w:tblGrid>
      <w:tr w14:paraId="20CE739F">
        <w:tblPrEx>
          <w:tblCellMar>
            <w:top w:w="0" w:type="dxa"/>
            <w:left w:w="0" w:type="dxa"/>
            <w:bottom w:w="0" w:type="dxa"/>
            <w:right w:w="0" w:type="dxa"/>
          </w:tblCellMar>
        </w:tblPrEx>
        <w:trPr>
          <w:trHeight w:val="631" w:hRule="atLeast"/>
        </w:trPr>
        <w:tc>
          <w:tcPr>
            <w:tcW w:w="73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314694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Arial"/>
                <w:color w:val="000000" w:themeColor="text1"/>
                <w:kern w:val="24"/>
                <w:szCs w:val="21"/>
                <w14:textFill>
                  <w14:solidFill>
                    <w14:schemeClr w14:val="tx1"/>
                  </w14:solidFill>
                </w14:textFill>
              </w:rPr>
              <w:t>序号</w:t>
            </w:r>
          </w:p>
        </w:tc>
        <w:tc>
          <w:tcPr>
            <w:tcW w:w="19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56CF12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theme="minorBidi"/>
                <w:color w:val="000000" w:themeColor="text1"/>
                <w:kern w:val="24"/>
                <w:szCs w:val="21"/>
                <w14:textFill>
                  <w14:solidFill>
                    <w14:schemeClr w14:val="tx1"/>
                  </w14:solidFill>
                </w14:textFill>
              </w:rPr>
              <w:t>标准编号</w:t>
            </w:r>
          </w:p>
        </w:tc>
        <w:tc>
          <w:tcPr>
            <w:tcW w:w="322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32BC373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theme="minorBidi"/>
                <w:color w:val="000000" w:themeColor="text1"/>
                <w:kern w:val="24"/>
                <w:szCs w:val="21"/>
                <w14:textFill>
                  <w14:solidFill>
                    <w14:schemeClr w14:val="tx1"/>
                  </w14:solidFill>
                </w14:textFill>
              </w:rPr>
              <w:t>标准名称</w:t>
            </w:r>
          </w:p>
        </w:tc>
        <w:tc>
          <w:tcPr>
            <w:tcW w:w="15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647D24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theme="minorBidi"/>
                <w:color w:val="000000" w:themeColor="text1"/>
                <w:kern w:val="24"/>
                <w:szCs w:val="21"/>
                <w14:textFill>
                  <w14:solidFill>
                    <w14:schemeClr w14:val="tx1"/>
                  </w14:solidFill>
                </w14:textFill>
              </w:rPr>
              <w:t>标准类别</w:t>
            </w:r>
          </w:p>
        </w:tc>
        <w:tc>
          <w:tcPr>
            <w:tcW w:w="116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9BEEF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theme="minorBidi"/>
                <w:color w:val="000000" w:themeColor="text1"/>
                <w:kern w:val="24"/>
                <w:szCs w:val="21"/>
                <w14:textFill>
                  <w14:solidFill>
                    <w14:schemeClr w14:val="tx1"/>
                  </w14:solidFill>
                </w14:textFill>
              </w:rPr>
              <w:t>标准状态</w:t>
            </w:r>
          </w:p>
        </w:tc>
      </w:tr>
      <w:tr w14:paraId="2A8BEF8F">
        <w:tblPrEx>
          <w:tblCellMar>
            <w:top w:w="0" w:type="dxa"/>
            <w:left w:w="0" w:type="dxa"/>
            <w:bottom w:w="0" w:type="dxa"/>
            <w:right w:w="0" w:type="dxa"/>
          </w:tblCellMar>
        </w:tblPrEx>
        <w:trPr>
          <w:trHeight w:val="631" w:hRule="atLeast"/>
        </w:trPr>
        <w:tc>
          <w:tcPr>
            <w:tcW w:w="73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2CC464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default" w:ascii="仿宋" w:hAnsi="仿宋" w:eastAsia="仿宋" w:cs="Arial"/>
                <w:color w:val="000000" w:themeColor="text1"/>
                <w:kern w:val="24"/>
                <w:szCs w:val="21"/>
                <w14:textFill>
                  <w14:solidFill>
                    <w14:schemeClr w14:val="tx1"/>
                  </w14:solidFill>
                </w14:textFill>
              </w:rPr>
              <w:t>1</w:t>
            </w:r>
          </w:p>
        </w:tc>
        <w:tc>
          <w:tcPr>
            <w:tcW w:w="19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02566F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default" w:ascii="仿宋" w:hAnsi="仿宋" w:eastAsia="仿宋" w:cstheme="minorBidi"/>
                <w:color w:val="000000" w:themeColor="text1"/>
                <w:kern w:val="24"/>
                <w:szCs w:val="21"/>
                <w14:textFill>
                  <w14:solidFill>
                    <w14:schemeClr w14:val="tx1"/>
                  </w14:solidFill>
                </w14:textFill>
              </w:rPr>
              <w:t>GB 22128-2019</w:t>
            </w:r>
          </w:p>
        </w:tc>
        <w:tc>
          <w:tcPr>
            <w:tcW w:w="322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4185C9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theme="minorBidi"/>
                <w:color w:val="000000" w:themeColor="text1"/>
                <w:kern w:val="24"/>
                <w:szCs w:val="21"/>
                <w14:textFill>
                  <w14:solidFill>
                    <w14:schemeClr w14:val="tx1"/>
                  </w14:solidFill>
                </w14:textFill>
              </w:rPr>
              <w:t>报废机动车回收拆解企业技术规范</w:t>
            </w:r>
          </w:p>
        </w:tc>
        <w:tc>
          <w:tcPr>
            <w:tcW w:w="15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04DD53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theme="minorBidi"/>
                <w:color w:val="000000" w:themeColor="text1"/>
                <w:kern w:val="24"/>
                <w:szCs w:val="21"/>
                <w14:textFill>
                  <w14:solidFill>
                    <w14:schemeClr w14:val="tx1"/>
                  </w14:solidFill>
                </w14:textFill>
              </w:rPr>
              <w:t>国家标准</w:t>
            </w:r>
          </w:p>
        </w:tc>
        <w:tc>
          <w:tcPr>
            <w:tcW w:w="116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644EDFD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Arial"/>
                <w:kern w:val="0"/>
                <w:szCs w:val="21"/>
              </w:rPr>
            </w:pPr>
            <w:r>
              <w:rPr>
                <w:rFonts w:hint="eastAsia" w:ascii="仿宋" w:hAnsi="仿宋" w:eastAsia="仿宋" w:cstheme="minorBidi"/>
                <w:color w:val="000000" w:themeColor="text1"/>
                <w:kern w:val="24"/>
                <w:szCs w:val="21"/>
                <w14:textFill>
                  <w14:solidFill>
                    <w14:schemeClr w14:val="tx1"/>
                  </w14:solidFill>
                </w14:textFill>
              </w:rPr>
              <w:t>现行</w:t>
            </w:r>
          </w:p>
        </w:tc>
      </w:tr>
      <w:tr w14:paraId="6D79566C">
        <w:tblPrEx>
          <w:tblCellMar>
            <w:top w:w="0" w:type="dxa"/>
            <w:left w:w="0" w:type="dxa"/>
            <w:bottom w:w="0" w:type="dxa"/>
            <w:right w:w="0" w:type="dxa"/>
          </w:tblCellMar>
        </w:tblPrEx>
        <w:trPr>
          <w:trHeight w:val="631" w:hRule="atLeast"/>
        </w:trPr>
        <w:tc>
          <w:tcPr>
            <w:tcW w:w="73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7E090D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Arial"/>
                <w:color w:val="000000" w:themeColor="text1"/>
                <w:kern w:val="24"/>
                <w:szCs w:val="21"/>
                <w:lang w:val="en-US" w:eastAsia="zh-CN"/>
                <w14:textFill>
                  <w14:solidFill>
                    <w14:schemeClr w14:val="tx1"/>
                  </w14:solidFill>
                </w14:textFill>
              </w:rPr>
            </w:pPr>
            <w:r>
              <w:rPr>
                <w:rFonts w:hint="eastAsia" w:ascii="仿宋" w:hAnsi="仿宋" w:eastAsia="仿宋" w:cs="Arial"/>
                <w:color w:val="000000" w:themeColor="text1"/>
                <w:kern w:val="24"/>
                <w:szCs w:val="21"/>
                <w:lang w:val="en-US" w:eastAsia="zh-CN"/>
                <w14:textFill>
                  <w14:solidFill>
                    <w14:schemeClr w14:val="tx1"/>
                  </w14:solidFill>
                </w14:textFill>
              </w:rPr>
              <w:t>2</w:t>
            </w:r>
          </w:p>
        </w:tc>
        <w:tc>
          <w:tcPr>
            <w:tcW w:w="19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5D3E273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GB/T 37515-2019</w:t>
            </w:r>
          </w:p>
        </w:tc>
        <w:tc>
          <w:tcPr>
            <w:tcW w:w="322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2FB992F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Cs w:val="21"/>
                <w14:textFill>
                  <w14:solidFill>
                    <w14:schemeClr w14:val="tx1"/>
                  </w14:solidFill>
                </w14:textFill>
              </w:rPr>
            </w:pPr>
            <w:r>
              <w:rPr>
                <w:rFonts w:hint="eastAsia" w:ascii="仿宋" w:hAnsi="仿宋" w:eastAsia="仿宋" w:cstheme="minorBidi"/>
                <w:color w:val="000000" w:themeColor="text1"/>
                <w:kern w:val="24"/>
                <w:szCs w:val="21"/>
                <w14:textFill>
                  <w14:solidFill>
                    <w14:schemeClr w14:val="tx1"/>
                  </w14:solidFill>
                </w14:textFill>
              </w:rPr>
              <w:t>再生资源回收体系建设规范</w:t>
            </w:r>
          </w:p>
        </w:tc>
        <w:tc>
          <w:tcPr>
            <w:tcW w:w="15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640A05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国家标准</w:t>
            </w:r>
          </w:p>
        </w:tc>
        <w:tc>
          <w:tcPr>
            <w:tcW w:w="116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23DF53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现行</w:t>
            </w:r>
          </w:p>
        </w:tc>
      </w:tr>
      <w:tr w14:paraId="14E7BD2B">
        <w:tblPrEx>
          <w:tblCellMar>
            <w:top w:w="0" w:type="dxa"/>
            <w:left w:w="0" w:type="dxa"/>
            <w:bottom w:w="0" w:type="dxa"/>
            <w:right w:w="0" w:type="dxa"/>
          </w:tblCellMar>
        </w:tblPrEx>
        <w:trPr>
          <w:trHeight w:val="631" w:hRule="atLeast"/>
        </w:trPr>
        <w:tc>
          <w:tcPr>
            <w:tcW w:w="73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3DAD4F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Arial"/>
                <w:color w:val="000000" w:themeColor="text1"/>
                <w:kern w:val="24"/>
                <w:szCs w:val="21"/>
                <w:lang w:val="en-US" w:eastAsia="zh-CN"/>
                <w14:textFill>
                  <w14:solidFill>
                    <w14:schemeClr w14:val="tx1"/>
                  </w14:solidFill>
                </w14:textFill>
              </w:rPr>
            </w:pPr>
            <w:r>
              <w:rPr>
                <w:rFonts w:hint="eastAsia" w:ascii="仿宋" w:hAnsi="仿宋" w:eastAsia="仿宋" w:cs="Arial"/>
                <w:color w:val="000000" w:themeColor="text1"/>
                <w:kern w:val="24"/>
                <w:szCs w:val="21"/>
                <w:lang w:val="en-US" w:eastAsia="zh-CN"/>
                <w14:textFill>
                  <w14:solidFill>
                    <w14:schemeClr w14:val="tx1"/>
                  </w14:solidFill>
                </w14:textFill>
              </w:rPr>
              <w:t>3</w:t>
            </w:r>
          </w:p>
        </w:tc>
        <w:tc>
          <w:tcPr>
            <w:tcW w:w="19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4C3B1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SB/T 10834-2012</w:t>
            </w:r>
          </w:p>
        </w:tc>
        <w:tc>
          <w:tcPr>
            <w:tcW w:w="322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6D9478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Cs w:val="21"/>
                <w14:textFill>
                  <w14:solidFill>
                    <w14:schemeClr w14:val="tx1"/>
                  </w14:solidFill>
                </w14:textFill>
              </w:rPr>
            </w:pPr>
            <w:r>
              <w:rPr>
                <w:rFonts w:hint="eastAsia" w:ascii="仿宋" w:hAnsi="仿宋" w:eastAsia="仿宋" w:cstheme="minorBidi"/>
                <w:color w:val="000000" w:themeColor="text1"/>
                <w:kern w:val="24"/>
                <w:szCs w:val="21"/>
                <w14:textFill>
                  <w14:solidFill>
                    <w14:schemeClr w14:val="tx1"/>
                  </w14:solidFill>
                </w14:textFill>
              </w:rPr>
              <w:t>废旧轮胎回收体系建设标准</w:t>
            </w:r>
          </w:p>
        </w:tc>
        <w:tc>
          <w:tcPr>
            <w:tcW w:w="15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08BE16F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行业标准</w:t>
            </w:r>
          </w:p>
        </w:tc>
        <w:tc>
          <w:tcPr>
            <w:tcW w:w="116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46C9821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现行</w:t>
            </w:r>
          </w:p>
        </w:tc>
      </w:tr>
      <w:tr w14:paraId="17179071">
        <w:tblPrEx>
          <w:tblCellMar>
            <w:top w:w="0" w:type="dxa"/>
            <w:left w:w="0" w:type="dxa"/>
            <w:bottom w:w="0" w:type="dxa"/>
            <w:right w:w="0" w:type="dxa"/>
          </w:tblCellMar>
        </w:tblPrEx>
        <w:trPr>
          <w:trHeight w:val="631" w:hRule="atLeast"/>
        </w:trPr>
        <w:tc>
          <w:tcPr>
            <w:tcW w:w="73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7EE351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Arial"/>
                <w:color w:val="000000" w:themeColor="text1"/>
                <w:kern w:val="24"/>
                <w:szCs w:val="21"/>
                <w:lang w:val="en-US" w:eastAsia="zh-CN"/>
                <w14:textFill>
                  <w14:solidFill>
                    <w14:schemeClr w14:val="tx1"/>
                  </w14:solidFill>
                </w14:textFill>
              </w:rPr>
            </w:pPr>
            <w:r>
              <w:rPr>
                <w:rFonts w:hint="eastAsia" w:ascii="仿宋" w:hAnsi="仿宋" w:eastAsia="仿宋" w:cs="Arial"/>
                <w:color w:val="000000" w:themeColor="text1"/>
                <w:kern w:val="24"/>
                <w:szCs w:val="21"/>
                <w:lang w:val="en-US" w:eastAsia="zh-CN"/>
                <w14:textFill>
                  <w14:solidFill>
                    <w14:schemeClr w14:val="tx1"/>
                  </w14:solidFill>
                </w14:textFill>
              </w:rPr>
              <w:t>4</w:t>
            </w:r>
          </w:p>
        </w:tc>
        <w:tc>
          <w:tcPr>
            <w:tcW w:w="19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57969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14:textFill>
                  <w14:solidFill>
                    <w14:schemeClr w14:val="tx1"/>
                  </w14:solidFill>
                </w14:textFill>
              </w:rPr>
              <w:t>NY/T 1640-2021</w:t>
            </w:r>
          </w:p>
        </w:tc>
        <w:tc>
          <w:tcPr>
            <w:tcW w:w="322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364B54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Cs w:val="21"/>
                <w14:textFill>
                  <w14:solidFill>
                    <w14:schemeClr w14:val="tx1"/>
                  </w14:solidFill>
                </w14:textFill>
              </w:rPr>
            </w:pPr>
            <w:r>
              <w:rPr>
                <w:rFonts w:hint="eastAsia" w:ascii="仿宋" w:hAnsi="仿宋" w:eastAsia="仿宋" w:cstheme="minorBidi"/>
                <w:color w:val="000000" w:themeColor="text1"/>
                <w:kern w:val="24"/>
                <w:szCs w:val="21"/>
                <w14:textFill>
                  <w14:solidFill>
                    <w14:schemeClr w14:val="tx1"/>
                  </w14:solidFill>
                </w14:textFill>
              </w:rPr>
              <w:t>农业机械分类</w:t>
            </w:r>
          </w:p>
        </w:tc>
        <w:tc>
          <w:tcPr>
            <w:tcW w:w="15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C3727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行业标准</w:t>
            </w:r>
          </w:p>
        </w:tc>
        <w:tc>
          <w:tcPr>
            <w:tcW w:w="116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2262D68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default" w:ascii="仿宋" w:hAnsi="仿宋" w:eastAsia="仿宋" w:cstheme="minorBidi"/>
                <w:color w:val="000000" w:themeColor="text1"/>
                <w:kern w:val="24"/>
                <w:szCs w:val="21"/>
                <w:lang w:val="en-US" w:eastAsia="zh-CN"/>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现行</w:t>
            </w:r>
          </w:p>
        </w:tc>
      </w:tr>
      <w:tr w14:paraId="29DF5BCD">
        <w:tblPrEx>
          <w:tblCellMar>
            <w:top w:w="0" w:type="dxa"/>
            <w:left w:w="0" w:type="dxa"/>
            <w:bottom w:w="0" w:type="dxa"/>
            <w:right w:w="0" w:type="dxa"/>
          </w:tblCellMar>
        </w:tblPrEx>
        <w:trPr>
          <w:trHeight w:val="631" w:hRule="atLeast"/>
        </w:trPr>
        <w:tc>
          <w:tcPr>
            <w:tcW w:w="73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7D64D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Arial"/>
                <w:color w:val="000000" w:themeColor="text1"/>
                <w:kern w:val="24"/>
                <w:sz w:val="21"/>
                <w:szCs w:val="21"/>
                <w:lang w:val="en-US" w:eastAsia="zh-CN" w:bidi="ar-SA"/>
                <w14:textFill>
                  <w14:solidFill>
                    <w14:schemeClr w14:val="tx1"/>
                  </w14:solidFill>
                </w14:textFill>
              </w:rPr>
            </w:pPr>
            <w:r>
              <w:rPr>
                <w:rFonts w:hint="eastAsia" w:ascii="仿宋" w:hAnsi="仿宋" w:eastAsia="仿宋" w:cs="Arial"/>
                <w:color w:val="000000" w:themeColor="text1"/>
                <w:kern w:val="24"/>
                <w:szCs w:val="21"/>
                <w:lang w:val="en-US" w:eastAsia="zh-CN"/>
                <w14:textFill>
                  <w14:solidFill>
                    <w14:schemeClr w14:val="tx1"/>
                  </w14:solidFill>
                </w14:textFill>
              </w:rPr>
              <w:t>5</w:t>
            </w:r>
          </w:p>
        </w:tc>
        <w:tc>
          <w:tcPr>
            <w:tcW w:w="19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2FD21A8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NY/T 2900-2022</w:t>
            </w:r>
          </w:p>
        </w:tc>
        <w:tc>
          <w:tcPr>
            <w:tcW w:w="322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E6BAC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报废农业机械回收拆解技术规范</w:t>
            </w:r>
          </w:p>
        </w:tc>
        <w:tc>
          <w:tcPr>
            <w:tcW w:w="15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15B16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行业标准</w:t>
            </w:r>
          </w:p>
        </w:tc>
        <w:tc>
          <w:tcPr>
            <w:tcW w:w="116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6C15E2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现行</w:t>
            </w:r>
          </w:p>
        </w:tc>
      </w:tr>
      <w:tr w14:paraId="16F7AE8F">
        <w:tblPrEx>
          <w:tblCellMar>
            <w:top w:w="0" w:type="dxa"/>
            <w:left w:w="0" w:type="dxa"/>
            <w:bottom w:w="0" w:type="dxa"/>
            <w:right w:w="0" w:type="dxa"/>
          </w:tblCellMar>
        </w:tblPrEx>
        <w:trPr>
          <w:trHeight w:val="631" w:hRule="atLeast"/>
        </w:trPr>
        <w:tc>
          <w:tcPr>
            <w:tcW w:w="73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545133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Arial"/>
                <w:color w:val="000000" w:themeColor="text1"/>
                <w:kern w:val="24"/>
                <w:sz w:val="21"/>
                <w:szCs w:val="21"/>
                <w:lang w:val="en-US" w:eastAsia="zh-CN" w:bidi="ar-SA"/>
                <w14:textFill>
                  <w14:solidFill>
                    <w14:schemeClr w14:val="tx1"/>
                  </w14:solidFill>
                </w14:textFill>
              </w:rPr>
            </w:pPr>
            <w:r>
              <w:rPr>
                <w:rFonts w:hint="eastAsia" w:ascii="仿宋" w:hAnsi="仿宋" w:eastAsia="仿宋" w:cs="Arial"/>
                <w:color w:val="000000" w:themeColor="text1"/>
                <w:kern w:val="24"/>
                <w:szCs w:val="21"/>
                <w:lang w:val="en-US" w:eastAsia="zh-CN"/>
                <w14:textFill>
                  <w14:solidFill>
                    <w14:schemeClr w14:val="tx1"/>
                  </w14:solidFill>
                </w14:textFill>
              </w:rPr>
              <w:t>6</w:t>
            </w:r>
          </w:p>
        </w:tc>
        <w:tc>
          <w:tcPr>
            <w:tcW w:w="19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67E5AA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14:textFill>
                  <w14:solidFill>
                    <w14:schemeClr w14:val="tx1"/>
                  </w14:solidFill>
                </w14:textFill>
              </w:rPr>
              <w:t>GH/T1298-2020</w:t>
            </w:r>
          </w:p>
        </w:tc>
        <w:tc>
          <w:tcPr>
            <w:tcW w:w="322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29017A6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14:textFill>
                  <w14:solidFill>
                    <w14:schemeClr w14:val="tx1"/>
                  </w14:solidFill>
                </w14:textFill>
              </w:rPr>
              <w:t>公共机构废旧商品回收体系管理规范</w:t>
            </w:r>
          </w:p>
        </w:tc>
        <w:tc>
          <w:tcPr>
            <w:tcW w:w="15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2A44247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行业标准</w:t>
            </w:r>
          </w:p>
        </w:tc>
        <w:tc>
          <w:tcPr>
            <w:tcW w:w="116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CDD8B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baseline"/>
              <w:rPr>
                <w:rFonts w:hint="eastAsia" w:ascii="仿宋" w:hAnsi="仿宋" w:eastAsia="仿宋" w:cstheme="minorBidi"/>
                <w:color w:val="000000" w:themeColor="text1"/>
                <w:kern w:val="24"/>
                <w:sz w:val="21"/>
                <w:szCs w:val="21"/>
                <w:lang w:val="en-US" w:eastAsia="zh-CN" w:bidi="ar-SA"/>
                <w14:textFill>
                  <w14:solidFill>
                    <w14:schemeClr w14:val="tx1"/>
                  </w14:solidFill>
                </w14:textFill>
              </w:rPr>
            </w:pPr>
            <w:r>
              <w:rPr>
                <w:rFonts w:hint="eastAsia" w:ascii="仿宋" w:hAnsi="仿宋" w:eastAsia="仿宋" w:cstheme="minorBidi"/>
                <w:color w:val="000000" w:themeColor="text1"/>
                <w:kern w:val="24"/>
                <w:szCs w:val="21"/>
                <w:lang w:val="en-US" w:eastAsia="zh-CN"/>
                <w14:textFill>
                  <w14:solidFill>
                    <w14:schemeClr w14:val="tx1"/>
                  </w14:solidFill>
                </w14:textFill>
              </w:rPr>
              <w:t>现行</w:t>
            </w:r>
          </w:p>
        </w:tc>
      </w:tr>
    </w:tbl>
    <w:p w14:paraId="2985DED5">
      <w:pPr>
        <w:pageBreakBefore w:val="0"/>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sz w:val="28"/>
          <w:szCs w:val="28"/>
        </w:rPr>
        <w:t>（2）成立工作小组</w:t>
      </w:r>
    </w:p>
    <w:p w14:paraId="1A9F5CE8">
      <w:pPr>
        <w:pageBreakBefore w:val="0"/>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color w:val="000000" w:themeColor="text1"/>
          <w:sz w:val="28"/>
          <w:szCs w:val="28"/>
          <w14:textFill>
            <w14:solidFill>
              <w14:schemeClr w14:val="tx1"/>
            </w14:solidFill>
          </w14:textFill>
        </w:rPr>
        <w:t>2024年5月</w:t>
      </w:r>
      <w:r>
        <w:rPr>
          <w:rFonts w:hint="eastAsia" w:ascii="仿宋" w:hAnsi="仿宋" w:eastAsia="仿宋"/>
          <w:sz w:val="28"/>
          <w:szCs w:val="28"/>
        </w:rPr>
        <w:t>，标准立项计划号下达后，在前期预研究及调研分析的基础上，中华全国供销合作总社天津再生资源研究所等单位联合成立标准起草小组，按照工作时间进度要求，制定了明确的工作目标和详细的工作计划。</w:t>
      </w:r>
    </w:p>
    <w:p w14:paraId="743C575C">
      <w:pPr>
        <w:pageBreakBefore w:val="0"/>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sz w:val="28"/>
          <w:szCs w:val="28"/>
        </w:rPr>
        <w:t>（3）起草阶段</w:t>
      </w:r>
    </w:p>
    <w:p w14:paraId="2F8EEAD2">
      <w:pPr>
        <w:pageBreakBefore w:val="0"/>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2024年</w:t>
      </w:r>
      <w:r>
        <w:rPr>
          <w:rFonts w:hint="eastAsia" w:ascii="仿宋" w:hAnsi="仿宋" w:eastAsia="仿宋"/>
          <w:sz w:val="28"/>
          <w:szCs w:val="28"/>
          <w:highlight w:val="none"/>
          <w:lang w:val="en-US" w:eastAsia="zh-CN"/>
        </w:rPr>
        <w:t>5</w:t>
      </w:r>
      <w:r>
        <w:rPr>
          <w:rFonts w:hint="eastAsia" w:ascii="仿宋" w:hAnsi="仿宋" w:eastAsia="仿宋"/>
          <w:sz w:val="28"/>
          <w:szCs w:val="28"/>
          <w:highlight w:val="none"/>
        </w:rPr>
        <w:t>月</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11</w:t>
      </w:r>
      <w:r>
        <w:rPr>
          <w:rFonts w:hint="eastAsia" w:ascii="仿宋" w:hAnsi="仿宋" w:eastAsia="仿宋"/>
          <w:sz w:val="28"/>
          <w:szCs w:val="28"/>
          <w:highlight w:val="none"/>
        </w:rPr>
        <w:t>月</w:t>
      </w:r>
      <w:r>
        <w:rPr>
          <w:rFonts w:hint="eastAsia" w:ascii="仿宋" w:hAnsi="仿宋" w:eastAsia="仿宋"/>
          <w:sz w:val="28"/>
          <w:szCs w:val="28"/>
        </w:rPr>
        <w:t>，在标准起草阶段，标准起草工作组采取</w:t>
      </w:r>
      <w:r>
        <w:rPr>
          <w:rFonts w:hint="eastAsia" w:ascii="仿宋" w:hAnsi="仿宋" w:eastAsia="仿宋"/>
          <w:sz w:val="28"/>
          <w:szCs w:val="28"/>
          <w:lang w:val="en-US" w:eastAsia="zh-CN"/>
        </w:rPr>
        <w:t>文献</w:t>
      </w:r>
      <w:r>
        <w:rPr>
          <w:rFonts w:hint="eastAsia" w:ascii="仿宋" w:hAnsi="仿宋" w:eastAsia="仿宋"/>
          <w:sz w:val="28"/>
          <w:szCs w:val="28"/>
        </w:rPr>
        <w:t>资料收集、实地调研、专家咨询等方法</w:t>
      </w:r>
      <w:r>
        <w:rPr>
          <w:rFonts w:hint="eastAsia" w:ascii="仿宋" w:hAnsi="仿宋" w:eastAsia="仿宋"/>
          <w:sz w:val="28"/>
          <w:szCs w:val="28"/>
          <w:lang w:val="en-US" w:eastAsia="zh-CN"/>
        </w:rPr>
        <w:t>进行资料收集，整理完善调研内容</w:t>
      </w:r>
      <w:r>
        <w:rPr>
          <w:rFonts w:hint="eastAsia" w:ascii="仿宋" w:hAnsi="仿宋" w:eastAsia="仿宋"/>
          <w:sz w:val="28"/>
          <w:szCs w:val="28"/>
        </w:rPr>
        <w:t>，提出了废旧农业机械回收体系建设涉及的主要内容，形成了《</w:t>
      </w:r>
      <w:r>
        <w:rPr>
          <w:rFonts w:hint="eastAsia" w:ascii="仿宋" w:hAnsi="仿宋" w:eastAsia="仿宋"/>
          <w:sz w:val="28"/>
          <w:szCs w:val="28"/>
          <w:lang w:eastAsia="zh-CN"/>
        </w:rPr>
        <w:t>废旧农业机械回收体系建设规范</w:t>
      </w:r>
      <w:r>
        <w:rPr>
          <w:rFonts w:hint="eastAsia" w:ascii="仿宋" w:hAnsi="仿宋" w:eastAsia="仿宋"/>
          <w:sz w:val="28"/>
          <w:szCs w:val="28"/>
        </w:rPr>
        <w:t>》标准工作组讨论稿</w:t>
      </w:r>
      <w:r>
        <w:rPr>
          <w:rFonts w:hint="eastAsia" w:ascii="仿宋" w:hAnsi="仿宋" w:eastAsia="仿宋"/>
          <w:sz w:val="28"/>
          <w:szCs w:val="28"/>
          <w:lang w:eastAsia="zh-CN"/>
        </w:rPr>
        <w:t>，</w:t>
      </w:r>
      <w:r>
        <w:rPr>
          <w:rFonts w:hint="eastAsia" w:ascii="仿宋" w:hAnsi="仿宋" w:eastAsia="仿宋"/>
          <w:sz w:val="28"/>
          <w:szCs w:val="28"/>
          <w:lang w:val="en-US" w:eastAsia="zh-CN"/>
        </w:rPr>
        <w:t>对讨论稿进行多次修改和完善，</w:t>
      </w:r>
      <w:r>
        <w:rPr>
          <w:rFonts w:hint="eastAsia" w:ascii="仿宋" w:hAnsi="仿宋" w:eastAsia="仿宋"/>
          <w:color w:val="000000" w:themeColor="text1"/>
          <w:sz w:val="28"/>
          <w:szCs w:val="28"/>
          <w:lang w:val="en-US" w:eastAsia="zh-CN"/>
          <w14:textFill>
            <w14:solidFill>
              <w14:schemeClr w14:val="tx1"/>
            </w14:solidFill>
          </w14:textFill>
        </w:rPr>
        <w:t>并于11月形成征求意见稿和编制说明</w:t>
      </w:r>
      <w:r>
        <w:rPr>
          <w:rFonts w:hint="eastAsia" w:ascii="仿宋" w:hAnsi="仿宋" w:eastAsia="仿宋"/>
          <w:color w:val="000000" w:themeColor="text1"/>
          <w:sz w:val="28"/>
          <w:szCs w:val="28"/>
          <w14:textFill>
            <w14:solidFill>
              <w14:schemeClr w14:val="tx1"/>
            </w14:solidFill>
          </w14:textFill>
        </w:rPr>
        <w:t>。</w:t>
      </w:r>
    </w:p>
    <w:p w14:paraId="008E20A3">
      <w:pPr>
        <w:pageBreakBefore w:val="0"/>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2024年5月21日，召开标准启动会，会上起草组汇报了标准的编制背景、编制思路和主要内容框架，对标准框架和编制思路进行探讨。</w:t>
      </w:r>
    </w:p>
    <w:p w14:paraId="68F5F2C9">
      <w:pPr>
        <w:pageBreakBefore w:val="0"/>
        <w:kinsoku/>
        <w:wordWrap/>
        <w:overflowPunct/>
        <w:topLinePunct w:val="0"/>
        <w:autoSpaceDE/>
        <w:autoSpaceDN/>
        <w:bidi w:val="0"/>
        <w:ind w:firstLine="560" w:firstLineChars="200"/>
        <w:rPr>
          <w:rFonts w:hint="default" w:ascii="仿宋" w:hAnsi="仿宋" w:eastAsia="仿宋"/>
          <w:sz w:val="28"/>
          <w:szCs w:val="28"/>
          <w:lang w:val="en-US" w:eastAsia="zh-CN"/>
        </w:rPr>
      </w:pPr>
      <w:r>
        <w:rPr>
          <w:rFonts w:hint="eastAsia" w:ascii="仿宋" w:hAnsi="仿宋" w:eastAsia="仿宋"/>
          <w:sz w:val="28"/>
          <w:szCs w:val="28"/>
        </w:rPr>
        <w:t>2024年</w:t>
      </w:r>
      <w:r>
        <w:rPr>
          <w:rFonts w:hint="eastAsia" w:ascii="仿宋" w:hAnsi="仿宋" w:eastAsia="仿宋"/>
          <w:sz w:val="28"/>
          <w:szCs w:val="28"/>
          <w:lang w:val="en-US" w:eastAsia="zh-CN"/>
        </w:rPr>
        <w:t>8月7日，标准起草组赴山东三禾农业机械拆解企业进行调研，对该公司的整个回收拆解系统进行了参观。8月8日，标准起草组赴山东费县顺和农机化种植专业合作社进行调研，对该合作社回收作业流程、人员队伍和规章制度等进行了详细了解。标准起草组结合实地参观考察和调研，对标准框架和具体内容作出了进一步完善。</w:t>
      </w:r>
    </w:p>
    <w:p w14:paraId="578157A1">
      <w:pPr>
        <w:pageBreakBefore w:val="0"/>
        <w:kinsoku/>
        <w:wordWrap/>
        <w:overflowPunct/>
        <w:topLinePunct w:val="0"/>
        <w:autoSpaceDE/>
        <w:autoSpaceDN/>
        <w:bidi w:val="0"/>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2024年9月20日，标准起草组召开标准研讨会。来自农业农村部农业机械化总站、中华全国供销合作总社北京商业机械研究所、山东省农业机械科学研究院、内蒙古农牧厅农机局、黑龙江省富裕县农机服务中心、乌兰察布市察哈尔右翼中旗农牧和科技局农机服务中心、临沂市农业机械发展促进中心、临沭县农业农村局、临沭县农业机械发展促进中心的专家，以及山东三禾机械科技有限公司、乌兰察布市察右中旗鼎新农牧业机械有限公司的企业代表，共18人通过线上/线下的方式参加会议。会上，标准起草组介绍了标准任务来源、标准起草背景、起草工作情况、标准主要内容和实施预期效益。农业农村部农业机械化总站等单位的专家和企业代表围绕制定目的、适用范围、技术要求和管理要求等多个方面对标准的编制思路进行了深入细致的研讨。同时，专家和企业代表对文本框架的设计和主要内容提出了具有针对性和前瞻性的建议，以确保标准的可操作性和适用性。</w:t>
      </w:r>
    </w:p>
    <w:p w14:paraId="6DF1C2CB">
      <w:pPr>
        <w:pageBreakBefore w:val="0"/>
        <w:kinsoku/>
        <w:wordWrap/>
        <w:overflowPunct/>
        <w:topLinePunct w:val="0"/>
        <w:autoSpaceDE/>
        <w:autoSpaceDN/>
        <w:bidi w:val="0"/>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2024年10月—11月，标准起草组结合第一次研讨会各方意见，对讨论稿进行修改，进一步完善和细化标准草案。</w:t>
      </w:r>
    </w:p>
    <w:p w14:paraId="1F526BAD">
      <w:pPr>
        <w:pageBreakBefore w:val="0"/>
        <w:kinsoku/>
        <w:wordWrap/>
        <w:overflowPunct/>
        <w:topLinePunct w:val="0"/>
        <w:autoSpaceDE/>
        <w:autoSpaceDN/>
        <w:bidi w:val="0"/>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2024年</w:t>
      </w:r>
      <w:r>
        <w:rPr>
          <w:rFonts w:hint="eastAsia" w:ascii="仿宋" w:hAnsi="仿宋" w:eastAsia="仿宋"/>
          <w:color w:val="000000" w:themeColor="text1"/>
          <w:sz w:val="28"/>
          <w:szCs w:val="28"/>
          <w:lang w:val="en-US" w:eastAsia="zh-CN"/>
          <w14:textFill>
            <w14:solidFill>
              <w14:schemeClr w14:val="tx1"/>
            </w14:solidFill>
          </w14:textFill>
        </w:rPr>
        <w:t>11</w:t>
      </w:r>
      <w:r>
        <w:rPr>
          <w:rFonts w:hint="eastAsia" w:ascii="仿宋" w:hAnsi="仿宋" w:eastAsia="仿宋"/>
          <w:color w:val="000000" w:themeColor="text1"/>
          <w:sz w:val="28"/>
          <w:szCs w:val="28"/>
          <w14:textFill>
            <w14:solidFill>
              <w14:schemeClr w14:val="tx1"/>
            </w14:solidFill>
          </w14:textFill>
        </w:rPr>
        <w:t>月</w:t>
      </w:r>
      <w:r>
        <w:rPr>
          <w:rFonts w:hint="eastAsia" w:ascii="仿宋" w:hAnsi="仿宋" w:eastAsia="仿宋"/>
          <w:color w:val="000000" w:themeColor="text1"/>
          <w:sz w:val="28"/>
          <w:szCs w:val="28"/>
          <w:lang w:val="en-US" w:eastAsia="zh-CN"/>
          <w14:textFill>
            <w14:solidFill>
              <w14:schemeClr w14:val="tx1"/>
            </w14:solidFill>
          </w14:textFill>
        </w:rPr>
        <w:t>28</w:t>
      </w:r>
      <w:r>
        <w:rPr>
          <w:rFonts w:hint="eastAsia" w:ascii="仿宋" w:hAnsi="仿宋" w:eastAsia="仿宋"/>
          <w:color w:val="000000" w:themeColor="text1"/>
          <w:sz w:val="28"/>
          <w:szCs w:val="28"/>
          <w14:textFill>
            <w14:solidFill>
              <w14:schemeClr w14:val="tx1"/>
            </w14:solidFill>
          </w14:textFill>
        </w:rPr>
        <w:t>日，中华全国供销合作总社天津再生资源研究所组织召开《</w:t>
      </w:r>
      <w:r>
        <w:rPr>
          <w:rFonts w:hint="eastAsia" w:ascii="仿宋" w:hAnsi="仿宋" w:eastAsia="仿宋"/>
          <w:color w:val="000000" w:themeColor="text1"/>
          <w:sz w:val="28"/>
          <w:szCs w:val="28"/>
          <w:lang w:val="en-US" w:eastAsia="zh-CN"/>
          <w14:textFill>
            <w14:solidFill>
              <w14:schemeClr w14:val="tx1"/>
            </w14:solidFill>
          </w14:textFill>
        </w:rPr>
        <w:t>废旧农业机械回收体系建设规范</w:t>
      </w:r>
      <w:r>
        <w:rPr>
          <w:rFonts w:hint="eastAsia" w:ascii="仿宋" w:hAnsi="仿宋" w:eastAsia="仿宋"/>
          <w:color w:val="000000" w:themeColor="text1"/>
          <w:sz w:val="28"/>
          <w:szCs w:val="28"/>
          <w14:textFill>
            <w14:solidFill>
              <w14:schemeClr w14:val="tx1"/>
            </w14:solidFill>
          </w14:textFill>
        </w:rPr>
        <w:t>》国家标准研讨会，与会专家和企业代表针对标准的具体条款提出了意见和建议，标准起草组据此进一步完善了标准文稿，形成了《</w:t>
      </w:r>
      <w:r>
        <w:rPr>
          <w:rFonts w:hint="eastAsia" w:ascii="仿宋" w:hAnsi="仿宋" w:eastAsia="仿宋"/>
          <w:color w:val="000000" w:themeColor="text1"/>
          <w:sz w:val="28"/>
          <w:szCs w:val="28"/>
          <w:lang w:val="en-US" w:eastAsia="zh-CN"/>
          <w14:textFill>
            <w14:solidFill>
              <w14:schemeClr w14:val="tx1"/>
            </w14:solidFill>
          </w14:textFill>
        </w:rPr>
        <w:t>废旧农业机械回收体系建设规范</w:t>
      </w:r>
      <w:r>
        <w:rPr>
          <w:rFonts w:hint="eastAsia" w:ascii="仿宋" w:hAnsi="仿宋" w:eastAsia="仿宋"/>
          <w:color w:val="000000" w:themeColor="text1"/>
          <w:sz w:val="28"/>
          <w:szCs w:val="28"/>
          <w14:textFill>
            <w14:solidFill>
              <w14:schemeClr w14:val="tx1"/>
            </w14:solidFill>
          </w14:textFill>
        </w:rPr>
        <w:t>》征求意见稿和编制说明。</w:t>
      </w:r>
    </w:p>
    <w:p w14:paraId="74930EAF">
      <w:pPr>
        <w:pageBreakBefore w:val="0"/>
        <w:kinsoku/>
        <w:wordWrap/>
        <w:overflowPunct/>
        <w:topLinePunct w:val="0"/>
        <w:autoSpaceDE/>
        <w:autoSpaceDN/>
        <w:bidi w:val="0"/>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（4）征求意见阶段</w:t>
      </w:r>
    </w:p>
    <w:p w14:paraId="12AEFC95">
      <w:pPr>
        <w:pageBreakBefore w:val="0"/>
        <w:kinsoku/>
        <w:wordWrap/>
        <w:overflowPunct/>
        <w:topLinePunct w:val="0"/>
        <w:autoSpaceDE/>
        <w:autoSpaceDN/>
        <w:bidi w:val="0"/>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（5）送审阶段</w:t>
      </w:r>
      <w:bookmarkStart w:id="55" w:name="_GoBack"/>
      <w:bookmarkEnd w:id="55"/>
    </w:p>
    <w:p w14:paraId="49C89230">
      <w:pPr>
        <w:pageBreakBefore w:val="0"/>
        <w:kinsoku/>
        <w:wordWrap/>
        <w:overflowPunct/>
        <w:topLinePunct w:val="0"/>
        <w:autoSpaceDE/>
        <w:autoSpaceDN/>
        <w:bidi w:val="0"/>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（6）报批阶段</w:t>
      </w:r>
    </w:p>
    <w:p w14:paraId="7FEAB973">
      <w:pPr>
        <w:pStyle w:val="2"/>
        <w:numPr>
          <w:ilvl w:val="0"/>
          <w:numId w:val="0"/>
        </w:numPr>
        <w:tabs>
          <w:tab w:val="left" w:pos="420"/>
        </w:tabs>
        <w:spacing w:line="360" w:lineRule="auto"/>
        <w:rPr>
          <w:rFonts w:hint="eastAsia" w:ascii="仿宋" w:hAnsi="仿宋" w:eastAsia="仿宋"/>
          <w:b/>
          <w:szCs w:val="28"/>
        </w:rPr>
      </w:pPr>
      <w:bookmarkStart w:id="11" w:name="_Toc15212"/>
      <w:bookmarkStart w:id="12" w:name="_Toc15766"/>
      <w:r>
        <w:rPr>
          <w:rFonts w:hint="eastAsia" w:ascii="仿宋" w:hAnsi="仿宋" w:eastAsia="仿宋"/>
          <w:b/>
          <w:szCs w:val="28"/>
        </w:rPr>
        <w:t>二、</w:t>
      </w:r>
      <w:bookmarkEnd w:id="7"/>
      <w:bookmarkEnd w:id="8"/>
      <w:bookmarkEnd w:id="9"/>
      <w:bookmarkEnd w:id="10"/>
      <w:bookmarkEnd w:id="11"/>
      <w:r>
        <w:rPr>
          <w:rFonts w:hint="eastAsia" w:ascii="仿宋" w:hAnsi="仿宋" w:eastAsia="仿宋"/>
          <w:b/>
          <w:szCs w:val="28"/>
        </w:rPr>
        <w:t>国家标准</w:t>
      </w:r>
      <w:r>
        <w:rPr>
          <w:rFonts w:hint="eastAsia" w:ascii="仿宋" w:hAnsi="仿宋" w:eastAsia="仿宋"/>
          <w:b/>
          <w:bCs w:val="0"/>
          <w:szCs w:val="28"/>
        </w:rPr>
        <w:t>编制</w:t>
      </w:r>
      <w:r>
        <w:rPr>
          <w:rFonts w:hint="eastAsia" w:ascii="仿宋" w:hAnsi="仿宋" w:eastAsia="仿宋"/>
          <w:b/>
          <w:szCs w:val="28"/>
        </w:rPr>
        <w:t>原则、主要内容及其确定依据</w:t>
      </w:r>
      <w:bookmarkEnd w:id="12"/>
    </w:p>
    <w:p w14:paraId="1B0AA3B4">
      <w:pPr>
        <w:spacing w:line="360" w:lineRule="auto"/>
        <w:rPr>
          <w:rFonts w:hint="eastAsia" w:ascii="仿宋" w:hAnsi="仿宋" w:eastAsia="仿宋"/>
          <w:b/>
          <w:sz w:val="28"/>
          <w:szCs w:val="28"/>
        </w:rPr>
      </w:pPr>
      <w:bookmarkStart w:id="13" w:name="_Toc447874519"/>
      <w:bookmarkStart w:id="14" w:name="_Toc133102645"/>
      <w:bookmarkStart w:id="15" w:name="_Toc482017027"/>
      <w:bookmarkStart w:id="16" w:name="_Toc133102716"/>
      <w:bookmarkStart w:id="17" w:name="_Toc133052541"/>
      <w:r>
        <w:rPr>
          <w:rFonts w:hint="eastAsia" w:ascii="仿宋" w:hAnsi="仿宋" w:eastAsia="仿宋"/>
          <w:b/>
          <w:sz w:val="28"/>
          <w:szCs w:val="28"/>
        </w:rPr>
        <w:t>2.1 编制原则</w:t>
      </w:r>
    </w:p>
    <w:p w14:paraId="2F62EE55">
      <w:pPr>
        <w:pageBreakBefore w:val="0"/>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sz w:val="28"/>
          <w:szCs w:val="28"/>
        </w:rPr>
        <w:t>为使《</w:t>
      </w:r>
      <w:r>
        <w:rPr>
          <w:rFonts w:hint="eastAsia" w:ascii="仿宋" w:hAnsi="仿宋" w:eastAsia="仿宋"/>
          <w:sz w:val="28"/>
          <w:szCs w:val="28"/>
          <w:lang w:val="en-US" w:eastAsia="zh-CN"/>
        </w:rPr>
        <w:t>废旧农业机械回收体系建设规范</w:t>
      </w:r>
      <w:r>
        <w:rPr>
          <w:rFonts w:hint="eastAsia" w:ascii="仿宋" w:hAnsi="仿宋" w:eastAsia="仿宋"/>
          <w:sz w:val="28"/>
          <w:szCs w:val="28"/>
        </w:rPr>
        <w:t>》的内容科学、合理并符合行业特征，项目组坚持贯彻以下编制原则：</w:t>
      </w:r>
    </w:p>
    <w:p w14:paraId="7F9757AC">
      <w:pPr>
        <w:pageBreakBefore w:val="0"/>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sz w:val="28"/>
          <w:szCs w:val="28"/>
        </w:rPr>
        <w:t>（1）规范性</w:t>
      </w:r>
    </w:p>
    <w:p w14:paraId="05181B0E">
      <w:pPr>
        <w:pageBreakBefore w:val="0"/>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sz w:val="28"/>
          <w:szCs w:val="28"/>
        </w:rPr>
        <w:t>本标准依据GB/T 1.1—2020《标准化工作导则 第1部分：标准化文件的结构和起草规则》的要求和规定编写本标准的内容。</w:t>
      </w:r>
    </w:p>
    <w:p w14:paraId="5842DFE9">
      <w:pPr>
        <w:pageBreakBefore w:val="0"/>
        <w:kinsoku/>
        <w:wordWrap/>
        <w:overflowPunct/>
        <w:topLinePunct w:val="0"/>
        <w:autoSpaceDE/>
        <w:autoSpaceDN/>
        <w:bidi w:val="0"/>
        <w:ind w:firstLine="560" w:firstLineChars="200"/>
        <w:rPr>
          <w:rFonts w:ascii="仿宋" w:hAnsi="仿宋" w:eastAsia="仿宋"/>
          <w:sz w:val="28"/>
          <w:szCs w:val="28"/>
        </w:rPr>
      </w:pPr>
      <w:r>
        <w:rPr>
          <w:rFonts w:hint="eastAsia" w:ascii="仿宋" w:hAnsi="仿宋" w:eastAsia="仿宋"/>
          <w:sz w:val="28"/>
          <w:szCs w:val="28"/>
        </w:rPr>
        <w:t>（2）合法性和合规性</w:t>
      </w:r>
    </w:p>
    <w:p w14:paraId="5D99903B">
      <w:pPr>
        <w:pageBreakBefore w:val="0"/>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本标准的编制应严格遵守国家相关的法律法规，并符合国家相关政策文件要求，确保</w:t>
      </w:r>
      <w:r>
        <w:rPr>
          <w:rFonts w:hint="eastAsia" w:ascii="仿宋" w:hAnsi="仿宋" w:eastAsia="仿宋"/>
          <w:sz w:val="28"/>
          <w:szCs w:val="28"/>
          <w:lang w:val="en-US" w:eastAsia="zh-CN"/>
        </w:rPr>
        <w:t>废旧农业机械回收体系</w:t>
      </w:r>
      <w:r>
        <w:rPr>
          <w:rFonts w:hint="eastAsia" w:ascii="仿宋" w:hAnsi="仿宋" w:eastAsia="仿宋"/>
          <w:sz w:val="28"/>
          <w:szCs w:val="28"/>
        </w:rPr>
        <w:t>建设的合法性与合规性。</w:t>
      </w:r>
    </w:p>
    <w:p w14:paraId="6BCEB950">
      <w:pPr>
        <w:pageBreakBefore w:val="0"/>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（3）先进性和适用性</w:t>
      </w:r>
    </w:p>
    <w:p w14:paraId="5A252AB6">
      <w:pPr>
        <w:pageBreakBefore w:val="0"/>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本标准制定遵循实用性和适用性原则，充分考虑我国</w:t>
      </w:r>
      <w:r>
        <w:rPr>
          <w:rFonts w:hint="eastAsia" w:ascii="仿宋" w:hAnsi="仿宋" w:eastAsia="仿宋"/>
          <w:sz w:val="28"/>
          <w:szCs w:val="28"/>
          <w:lang w:val="en-US" w:eastAsia="zh-CN"/>
        </w:rPr>
        <w:t>报废农业机械回收</w:t>
      </w:r>
      <w:r>
        <w:rPr>
          <w:rFonts w:hint="eastAsia" w:ascii="仿宋" w:hAnsi="仿宋" w:eastAsia="仿宋"/>
          <w:sz w:val="28"/>
          <w:szCs w:val="28"/>
        </w:rPr>
        <w:t>模式以及行业现状，以解决</w:t>
      </w:r>
      <w:r>
        <w:rPr>
          <w:rFonts w:hint="eastAsia" w:ascii="仿宋" w:hAnsi="仿宋" w:eastAsia="仿宋"/>
          <w:sz w:val="28"/>
          <w:szCs w:val="28"/>
          <w:lang w:val="en-US" w:eastAsia="zh-CN"/>
        </w:rPr>
        <w:t>报废农业机械</w:t>
      </w:r>
      <w:r>
        <w:rPr>
          <w:rFonts w:hint="eastAsia" w:ascii="仿宋" w:hAnsi="仿宋" w:eastAsia="仿宋"/>
          <w:sz w:val="28"/>
          <w:szCs w:val="28"/>
        </w:rPr>
        <w:t>规范化</w:t>
      </w:r>
      <w:r>
        <w:rPr>
          <w:rFonts w:hint="eastAsia" w:ascii="仿宋" w:hAnsi="仿宋" w:eastAsia="仿宋"/>
          <w:sz w:val="28"/>
          <w:szCs w:val="28"/>
          <w:lang w:eastAsia="zh-CN"/>
        </w:rPr>
        <w:t>、</w:t>
      </w:r>
      <w:r>
        <w:rPr>
          <w:rFonts w:hint="eastAsia" w:ascii="仿宋" w:hAnsi="仿宋" w:eastAsia="仿宋"/>
          <w:sz w:val="28"/>
          <w:szCs w:val="28"/>
          <w:lang w:val="en-US" w:eastAsia="zh-CN"/>
        </w:rPr>
        <w:t>标准化回收</w:t>
      </w:r>
      <w:r>
        <w:rPr>
          <w:rFonts w:hint="eastAsia" w:ascii="仿宋" w:hAnsi="仿宋" w:eastAsia="仿宋"/>
          <w:sz w:val="28"/>
          <w:szCs w:val="28"/>
        </w:rPr>
        <w:t>，借鉴国内追溯系统相关实践经验，确保标准内容先进性和适用性。</w:t>
      </w:r>
    </w:p>
    <w:p w14:paraId="79B2A370">
      <w:pPr>
        <w:pageBreakBefore w:val="0"/>
        <w:numPr>
          <w:ilvl w:val="0"/>
          <w:numId w:val="6"/>
        </w:numPr>
        <w:kinsoku/>
        <w:wordWrap/>
        <w:overflowPunct/>
        <w:topLinePunct w:val="0"/>
        <w:autoSpaceDE/>
        <w:autoSpaceDN/>
        <w:bidi w:val="0"/>
        <w:ind w:firstLine="560" w:firstLineChars="200"/>
        <w:rPr>
          <w:rFonts w:hint="eastAsia" w:ascii="仿宋" w:hAnsi="仿宋" w:eastAsia="仿宋"/>
          <w:sz w:val="28"/>
          <w:szCs w:val="28"/>
        </w:rPr>
      </w:pPr>
      <w:r>
        <w:rPr>
          <w:rFonts w:hint="eastAsia" w:ascii="仿宋" w:hAnsi="仿宋" w:eastAsia="仿宋"/>
          <w:sz w:val="28"/>
          <w:szCs w:val="28"/>
        </w:rPr>
        <w:t>完整性</w:t>
      </w:r>
    </w:p>
    <w:p w14:paraId="2F546047">
      <w:pPr>
        <w:pageBreakBefore w:val="0"/>
        <w:kinsoku/>
        <w:wordWrap/>
        <w:overflowPunct/>
        <w:topLinePunct w:val="0"/>
        <w:autoSpaceDE/>
        <w:autoSpaceDN/>
        <w:bidi w:val="0"/>
        <w:ind w:firstLine="560" w:firstLineChars="200"/>
        <w:rPr>
          <w:rFonts w:hint="eastAsia" w:ascii="仿宋" w:hAnsi="仿宋" w:eastAsia="仿宋"/>
          <w:color w:val="0000FF"/>
          <w:sz w:val="28"/>
          <w:szCs w:val="28"/>
          <w:lang w:eastAsia="zh-CN"/>
        </w:rPr>
      </w:pPr>
      <w:r>
        <w:rPr>
          <w:rFonts w:hint="eastAsia" w:ascii="仿宋" w:hAnsi="仿宋" w:eastAsia="仿宋"/>
          <w:sz w:val="28"/>
          <w:szCs w:val="28"/>
        </w:rPr>
        <w:t>在本次标准编制过程中，充分调研了</w:t>
      </w:r>
      <w:r>
        <w:rPr>
          <w:rFonts w:hint="eastAsia" w:ascii="仿宋" w:hAnsi="仿宋" w:eastAsia="仿宋"/>
          <w:sz w:val="28"/>
          <w:szCs w:val="28"/>
          <w:lang w:val="en-US" w:eastAsia="zh-CN"/>
        </w:rPr>
        <w:t>报废农业机械回收拆解企业、报废机动车回收拆解企业、维修服务网点、农机服务经营组织等</w:t>
      </w:r>
      <w:r>
        <w:rPr>
          <w:rFonts w:hint="eastAsia" w:ascii="仿宋" w:hAnsi="仿宋" w:eastAsia="仿宋"/>
          <w:sz w:val="28"/>
          <w:szCs w:val="28"/>
        </w:rPr>
        <w:t>，对这些企业的业务流程进行梳理和分析，</w:t>
      </w:r>
      <w:r>
        <w:rPr>
          <w:rFonts w:hint="eastAsia" w:ascii="仿宋" w:hAnsi="仿宋" w:eastAsia="仿宋"/>
          <w:sz w:val="28"/>
          <w:szCs w:val="28"/>
          <w:lang w:val="en-US" w:eastAsia="zh-CN"/>
        </w:rPr>
        <w:t>分析</w:t>
      </w:r>
      <w:r>
        <w:rPr>
          <w:rFonts w:hint="eastAsia" w:ascii="仿宋" w:hAnsi="仿宋" w:eastAsia="仿宋"/>
          <w:sz w:val="28"/>
          <w:szCs w:val="28"/>
        </w:rPr>
        <w:t>整个行业的运作模式</w:t>
      </w:r>
      <w:r>
        <w:rPr>
          <w:rFonts w:hint="eastAsia" w:ascii="仿宋" w:hAnsi="仿宋" w:eastAsia="仿宋"/>
          <w:sz w:val="28"/>
          <w:szCs w:val="28"/>
          <w:lang w:eastAsia="zh-CN"/>
        </w:rPr>
        <w:t>，</w:t>
      </w:r>
      <w:r>
        <w:rPr>
          <w:rFonts w:hint="eastAsia" w:ascii="仿宋" w:hAnsi="仿宋" w:eastAsia="仿宋"/>
          <w:sz w:val="28"/>
          <w:szCs w:val="28"/>
          <w:lang w:val="en-US" w:eastAsia="zh-CN"/>
        </w:rPr>
        <w:t>同时还充分考虑到不同地区、不同规模的企业在实际操作中的差异；根据废旧农业机械回收体系，提出了各主体职能和建设要求，</w:t>
      </w:r>
      <w:r>
        <w:rPr>
          <w:rFonts w:hint="eastAsia" w:ascii="仿宋" w:hAnsi="仿宋" w:eastAsia="仿宋"/>
          <w:color w:val="000000" w:themeColor="text1"/>
          <w:sz w:val="28"/>
          <w:szCs w:val="28"/>
          <w14:textFill>
            <w14:solidFill>
              <w14:schemeClr w14:val="tx1"/>
            </w14:solidFill>
          </w14:textFill>
        </w:rPr>
        <w:t>确保覆盖</w:t>
      </w:r>
      <w:r>
        <w:rPr>
          <w:rFonts w:hint="eastAsia" w:ascii="仿宋" w:hAnsi="仿宋" w:eastAsia="仿宋"/>
          <w:color w:val="000000" w:themeColor="text1"/>
          <w:sz w:val="28"/>
          <w:szCs w:val="28"/>
          <w:lang w:val="en-US" w:eastAsia="zh-CN"/>
          <w14:textFill>
            <w14:solidFill>
              <w14:schemeClr w14:val="tx1"/>
            </w14:solidFill>
          </w14:textFill>
        </w:rPr>
        <w:t>废旧农业机械回收体系建设内容，</w:t>
      </w:r>
      <w:r>
        <w:rPr>
          <w:rFonts w:hint="eastAsia" w:ascii="仿宋" w:hAnsi="仿宋" w:eastAsia="仿宋"/>
          <w:color w:val="000000" w:themeColor="text1"/>
          <w:sz w:val="28"/>
          <w:szCs w:val="28"/>
          <w14:textFill>
            <w14:solidFill>
              <w14:schemeClr w14:val="tx1"/>
            </w14:solidFill>
          </w14:textFill>
        </w:rPr>
        <w:t>确保标准内容完整性。</w:t>
      </w:r>
    </w:p>
    <w:p w14:paraId="62457408">
      <w:pPr>
        <w:spacing w:line="360" w:lineRule="auto"/>
        <w:rPr>
          <w:rFonts w:hint="eastAsia" w:ascii="仿宋" w:hAnsi="仿宋" w:eastAsia="仿宋"/>
          <w:b/>
          <w:sz w:val="28"/>
          <w:szCs w:val="28"/>
        </w:rPr>
      </w:pPr>
      <w:r>
        <w:rPr>
          <w:rFonts w:hint="eastAsia" w:ascii="仿宋" w:hAnsi="仿宋" w:eastAsia="仿宋"/>
          <w:b/>
          <w:sz w:val="28"/>
          <w:szCs w:val="28"/>
        </w:rPr>
        <w:t>2.2 主要内容及其确定依据</w:t>
      </w:r>
    </w:p>
    <w:p w14:paraId="2D26CEE0">
      <w:pPr>
        <w:pageBreakBefore w:val="0"/>
        <w:kinsoku/>
        <w:wordWrap/>
        <w:overflowPunct/>
        <w:topLinePunct w:val="0"/>
        <w:autoSpaceDE/>
        <w:autoSpaceDN/>
        <w:bidi w:val="0"/>
        <w:ind w:firstLine="560" w:firstLineChars="200"/>
        <w:rPr>
          <w:rFonts w:ascii="仿宋" w:hAnsi="仿宋" w:eastAsia="仿宋"/>
          <w:color w:val="000000"/>
          <w:sz w:val="28"/>
          <w:szCs w:val="28"/>
        </w:rPr>
      </w:pPr>
      <w:r>
        <w:rPr>
          <w:rFonts w:hint="eastAsia" w:ascii="仿宋" w:hAnsi="仿宋" w:eastAsia="仿宋"/>
          <w:color w:val="000000"/>
          <w:sz w:val="28"/>
          <w:szCs w:val="28"/>
        </w:rPr>
        <w:t>本标准共设置</w:t>
      </w:r>
      <w:r>
        <w:rPr>
          <w:rFonts w:hint="eastAsia" w:ascii="仿宋" w:hAnsi="仿宋" w:eastAsia="仿宋"/>
          <w:color w:val="000000"/>
          <w:sz w:val="28"/>
          <w:szCs w:val="28"/>
          <w:lang w:eastAsia="zh-CN"/>
        </w:rPr>
        <w:t>5</w:t>
      </w:r>
      <w:r>
        <w:rPr>
          <w:rFonts w:hint="eastAsia" w:ascii="仿宋" w:hAnsi="仿宋" w:eastAsia="仿宋"/>
          <w:color w:val="000000"/>
          <w:sz w:val="28"/>
          <w:szCs w:val="28"/>
        </w:rPr>
        <w:t>个章节，具体包括：</w:t>
      </w:r>
    </w:p>
    <w:p w14:paraId="27486C89">
      <w:pPr>
        <w:ind w:right="420" w:rightChars="200" w:firstLine="560" w:firstLineChars="200"/>
        <w:rPr>
          <w:rFonts w:hint="eastAsia" w:ascii="仿宋" w:hAnsi="仿宋" w:eastAsia="仿宋"/>
          <w:color w:val="000000"/>
          <w:sz w:val="28"/>
          <w:szCs w:val="28"/>
        </w:rPr>
      </w:pPr>
      <w:r>
        <w:rPr>
          <w:rFonts w:hint="eastAsia" w:ascii="仿宋" w:hAnsi="仿宋" w:eastAsia="仿宋"/>
          <w:color w:val="000000"/>
          <w:sz w:val="28"/>
          <w:szCs w:val="28"/>
        </w:rPr>
        <w:t>（1）范围</w:t>
      </w:r>
    </w:p>
    <w:p w14:paraId="0C89B627">
      <w:pPr>
        <w:pageBreakBefore w:val="0"/>
        <w:kinsoku/>
        <w:wordWrap/>
        <w:overflowPunct/>
        <w:topLinePunct w:val="0"/>
        <w:autoSpaceDE/>
        <w:autoSpaceDN/>
        <w:bidi w:val="0"/>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本文件规定了废旧农业机械回收体系的构成和建设要求。</w:t>
      </w:r>
    </w:p>
    <w:p w14:paraId="201166A8">
      <w:pPr>
        <w:ind w:right="420" w:rightChars="200" w:firstLine="560" w:firstLineChars="200"/>
        <w:rPr>
          <w:rFonts w:hint="eastAsia" w:ascii="仿宋" w:hAnsi="仿宋" w:eastAsia="仿宋"/>
          <w:color w:val="000000"/>
          <w:sz w:val="28"/>
          <w:szCs w:val="28"/>
        </w:rPr>
      </w:pPr>
      <w:r>
        <w:rPr>
          <w:rFonts w:hint="eastAsia" w:ascii="仿宋" w:hAnsi="仿宋" w:eastAsia="仿宋"/>
          <w:color w:val="000000"/>
          <w:sz w:val="28"/>
          <w:szCs w:val="28"/>
        </w:rPr>
        <w:t>本文</w:t>
      </w:r>
      <w:r>
        <w:rPr>
          <w:rFonts w:hint="eastAsia" w:ascii="仿宋" w:hAnsi="仿宋" w:eastAsia="仿宋"/>
          <w:color w:val="000000"/>
          <w:sz w:val="28"/>
          <w:szCs w:val="28"/>
          <w:lang w:eastAsia="zh-CN"/>
        </w:rPr>
        <w:t>件</w:t>
      </w:r>
      <w:r>
        <w:rPr>
          <w:rFonts w:hint="eastAsia" w:ascii="仿宋" w:hAnsi="仿宋" w:eastAsia="仿宋"/>
          <w:color w:val="000000"/>
          <w:sz w:val="28"/>
          <w:szCs w:val="28"/>
        </w:rPr>
        <w:t>适用于报废的拖拉机、联合收割机、播种机等主要农业机械的回收体系建设。</w:t>
      </w:r>
    </w:p>
    <w:p w14:paraId="56407575">
      <w:pPr>
        <w:ind w:right="420" w:rightChars="200" w:firstLine="560" w:firstLineChars="200"/>
        <w:rPr>
          <w:rFonts w:hint="eastAsia" w:ascii="仿宋" w:hAnsi="仿宋" w:eastAsia="仿宋"/>
          <w:color w:val="000000"/>
          <w:sz w:val="28"/>
          <w:szCs w:val="28"/>
        </w:rPr>
      </w:pPr>
      <w:r>
        <w:rPr>
          <w:rFonts w:hint="eastAsia" w:ascii="仿宋" w:hAnsi="仿宋" w:eastAsia="仿宋"/>
          <w:color w:val="000000"/>
          <w:sz w:val="28"/>
          <w:szCs w:val="28"/>
        </w:rPr>
        <w:t>（2）规范性引用文件</w:t>
      </w:r>
    </w:p>
    <w:p w14:paraId="62432277">
      <w:pPr>
        <w:pageBreakBefore w:val="0"/>
        <w:kinsoku/>
        <w:wordWrap/>
        <w:overflowPunct/>
        <w:topLinePunct w:val="0"/>
        <w:autoSpaceDE/>
        <w:autoSpaceDN/>
        <w:bidi w:val="0"/>
        <w:ind w:firstLine="560" w:firstLineChars="200"/>
        <w:rPr>
          <w:rFonts w:ascii="仿宋" w:hAnsi="仿宋" w:eastAsia="仿宋"/>
          <w:color w:val="000000"/>
          <w:sz w:val="28"/>
          <w:szCs w:val="28"/>
        </w:rPr>
      </w:pPr>
      <w:r>
        <w:rPr>
          <w:rFonts w:hint="eastAsia" w:ascii="仿宋" w:hAnsi="仿宋" w:eastAsia="仿宋"/>
          <w:color w:val="000000"/>
          <w:sz w:val="28"/>
          <w:szCs w:val="28"/>
        </w:rPr>
        <w:t>本部分列出了在本标准中所引用的国家标准、行业技术标准、技术规范等。</w:t>
      </w:r>
    </w:p>
    <w:p w14:paraId="47E42C24">
      <w:pPr>
        <w:pageBreakBefore w:val="0"/>
        <w:kinsoku/>
        <w:wordWrap/>
        <w:overflowPunct/>
        <w:topLinePunct w:val="0"/>
        <w:autoSpaceDE/>
        <w:autoSpaceDN/>
        <w:bidi w:val="0"/>
        <w:ind w:firstLine="560" w:firstLineChars="200"/>
        <w:rPr>
          <w:rFonts w:ascii="仿宋" w:hAnsi="仿宋" w:eastAsia="仿宋"/>
          <w:color w:val="000000"/>
          <w:sz w:val="28"/>
          <w:szCs w:val="28"/>
        </w:rPr>
      </w:pPr>
      <w:r>
        <w:rPr>
          <w:rFonts w:hint="eastAsia" w:ascii="仿宋" w:hAnsi="仿宋" w:eastAsia="仿宋"/>
          <w:color w:val="000000"/>
          <w:sz w:val="28"/>
          <w:szCs w:val="28"/>
        </w:rPr>
        <w:t>（3）术语和定义</w:t>
      </w:r>
    </w:p>
    <w:p w14:paraId="4651BC1B">
      <w:pPr>
        <w:pageBreakBefore w:val="0"/>
        <w:kinsoku/>
        <w:wordWrap/>
        <w:overflowPunct/>
        <w:topLinePunct w:val="0"/>
        <w:autoSpaceDE/>
        <w:autoSpaceDN/>
        <w:bidi w:val="0"/>
        <w:ind w:firstLine="560" w:firstLineChars="200"/>
        <w:rPr>
          <w:rFonts w:ascii="仿宋" w:hAnsi="仿宋" w:eastAsia="仿宋"/>
          <w:color w:val="000000"/>
          <w:sz w:val="28"/>
          <w:szCs w:val="28"/>
        </w:rPr>
      </w:pPr>
      <w:r>
        <w:rPr>
          <w:rFonts w:hint="eastAsia" w:ascii="仿宋" w:hAnsi="仿宋" w:eastAsia="仿宋"/>
          <w:color w:val="000000"/>
          <w:sz w:val="28"/>
          <w:szCs w:val="28"/>
        </w:rPr>
        <w:t>本部分对文件中涉及的</w:t>
      </w:r>
      <w:r>
        <w:rPr>
          <w:rFonts w:hint="eastAsia" w:ascii="仿宋" w:hAnsi="仿宋" w:eastAsia="仿宋"/>
          <w:color w:val="000000"/>
          <w:sz w:val="28"/>
          <w:szCs w:val="28"/>
          <w:lang w:val="en-US" w:eastAsia="zh-CN"/>
        </w:rPr>
        <w:t>废旧</w:t>
      </w:r>
      <w:r>
        <w:rPr>
          <w:rFonts w:hint="eastAsia" w:ascii="仿宋" w:hAnsi="仿宋" w:eastAsia="仿宋"/>
          <w:color w:val="000000"/>
          <w:sz w:val="28"/>
          <w:szCs w:val="28"/>
        </w:rPr>
        <w:t>农业机械、</w:t>
      </w:r>
      <w:r>
        <w:rPr>
          <w:rFonts w:hint="eastAsia" w:ascii="仿宋" w:hAnsi="仿宋" w:eastAsia="仿宋"/>
          <w:color w:val="000000"/>
          <w:sz w:val="28"/>
          <w:szCs w:val="28"/>
          <w:lang w:eastAsia="zh-CN"/>
        </w:rPr>
        <w:t>回收网点、拆解中心、信息化管理平台</w:t>
      </w:r>
      <w:r>
        <w:rPr>
          <w:rFonts w:hint="eastAsia" w:ascii="仿宋" w:hAnsi="仿宋" w:eastAsia="仿宋"/>
          <w:color w:val="000000"/>
          <w:sz w:val="28"/>
          <w:szCs w:val="28"/>
        </w:rPr>
        <w:t>等术语进行了定义，便于标准条文的理解。</w:t>
      </w:r>
    </w:p>
    <w:p w14:paraId="773F27CA">
      <w:pPr>
        <w:pageBreakBefore w:val="0"/>
        <w:kinsoku/>
        <w:wordWrap/>
        <w:overflowPunct/>
        <w:topLinePunct w:val="0"/>
        <w:autoSpaceDE/>
        <w:autoSpaceDN/>
        <w:bidi w:val="0"/>
        <w:ind w:firstLine="560" w:firstLineChars="200"/>
        <w:rPr>
          <w:rFonts w:hint="eastAsia" w:ascii="仿宋" w:hAnsi="仿宋" w:eastAsia="仿宋"/>
          <w:color w:val="000000"/>
          <w:sz w:val="28"/>
          <w:szCs w:val="28"/>
          <w:lang w:val="en-US" w:eastAsia="zh-CN"/>
        </w:rPr>
      </w:pPr>
      <w:r>
        <w:rPr>
          <w:rFonts w:hint="eastAsia" w:ascii="仿宋" w:hAnsi="仿宋" w:eastAsia="仿宋"/>
          <w:color w:val="000000"/>
          <w:sz w:val="28"/>
          <w:szCs w:val="28"/>
        </w:rPr>
        <w:t>符合国家标准、行业标准规定的报废条件和农机所有者自愿报废的农业机械</w:t>
      </w:r>
      <w:r>
        <w:rPr>
          <w:rFonts w:hint="eastAsia" w:ascii="仿宋" w:hAnsi="仿宋" w:eastAsia="仿宋"/>
          <w:color w:val="000000"/>
          <w:sz w:val="28"/>
          <w:szCs w:val="28"/>
          <w:lang w:eastAsia="zh-CN"/>
        </w:rPr>
        <w:t>（</w:t>
      </w:r>
      <w:r>
        <w:rPr>
          <w:rFonts w:hint="eastAsia" w:ascii="仿宋" w:hAnsi="仿宋" w:eastAsia="仿宋"/>
          <w:color w:val="000000"/>
          <w:sz w:val="28"/>
          <w:szCs w:val="28"/>
        </w:rPr>
        <w:t>注：“废旧农业机械”也称为“报废农业机械”</w:t>
      </w:r>
      <w:r>
        <w:rPr>
          <w:rFonts w:hint="eastAsia" w:ascii="仿宋" w:hAnsi="仿宋" w:eastAsia="仿宋"/>
          <w:color w:val="000000"/>
          <w:sz w:val="28"/>
          <w:szCs w:val="28"/>
          <w:lang w:eastAsia="zh-CN"/>
        </w:rPr>
        <w:t>）</w:t>
      </w:r>
      <w:r>
        <w:rPr>
          <w:rFonts w:hint="eastAsia" w:ascii="仿宋" w:hAnsi="仿宋" w:eastAsia="仿宋"/>
          <w:color w:val="000000"/>
          <w:sz w:val="28"/>
          <w:szCs w:val="28"/>
        </w:rPr>
        <w:t>。</w:t>
      </w:r>
      <w:r>
        <w:rPr>
          <w:rFonts w:hint="eastAsia" w:ascii="仿宋" w:hAnsi="仿宋" w:eastAsia="仿宋"/>
          <w:color w:val="000000"/>
          <w:sz w:val="28"/>
          <w:szCs w:val="28"/>
          <w:lang w:val="en-US" w:eastAsia="zh-CN"/>
        </w:rPr>
        <w:t>该定义参考了《报废机动车回收拆解企业技术规范》（GB 22128-2019）中“报废机动车”的定义：达到国家机动车强制报废标准规定的和机动车所有人自愿做报废处理的机动车。</w:t>
      </w:r>
    </w:p>
    <w:p w14:paraId="4C2C17D7">
      <w:pPr>
        <w:pageBreakBefore w:val="0"/>
        <w:kinsoku/>
        <w:wordWrap/>
        <w:overflowPunct/>
        <w:topLinePunct w:val="0"/>
        <w:autoSpaceDE/>
        <w:autoSpaceDN/>
        <w:bidi w:val="0"/>
        <w:ind w:firstLine="560" w:firstLineChars="200"/>
        <w:rPr>
          <w:rFonts w:hint="eastAsia" w:ascii="仿宋" w:hAnsi="仿宋" w:eastAsia="仿宋"/>
          <w:color w:val="000000"/>
          <w:sz w:val="28"/>
          <w:szCs w:val="28"/>
          <w:lang w:val="en-US" w:eastAsia="zh-CN"/>
        </w:rPr>
      </w:pPr>
      <w:r>
        <w:rPr>
          <w:rFonts w:hint="eastAsia" w:ascii="仿宋" w:hAnsi="仿宋" w:eastAsia="仿宋"/>
          <w:color w:val="000000"/>
          <w:sz w:val="28"/>
          <w:szCs w:val="28"/>
          <w:lang w:eastAsia="zh-CN"/>
        </w:rPr>
        <w:t>回收网点</w:t>
      </w:r>
      <w:r>
        <w:rPr>
          <w:rFonts w:hint="eastAsia" w:ascii="仿宋" w:hAnsi="仿宋" w:eastAsia="仿宋"/>
          <w:color w:val="000000"/>
          <w:sz w:val="28"/>
          <w:szCs w:val="28"/>
          <w:lang w:val="en-US" w:eastAsia="zh-CN"/>
        </w:rPr>
        <w:t>定义为报废农业机械接收或收购、登记、分类、储存等过程中放置报废农业机械的固定场所。该定义参考了《车用动力电池回收利用 管理规范第2部分：回收服务网点》（GB/T 38698.2-2023）中“回收服务网点”的定义：收集、分类、贮存及包装等过程中放置废旧动力电池的场所。</w:t>
      </w:r>
    </w:p>
    <w:p w14:paraId="56A8AF8D">
      <w:pPr>
        <w:pageBreakBefore w:val="0"/>
        <w:kinsoku/>
        <w:wordWrap/>
        <w:overflowPunct/>
        <w:topLinePunct w:val="0"/>
        <w:autoSpaceDE/>
        <w:autoSpaceDN/>
        <w:bidi w:val="0"/>
        <w:ind w:firstLine="560" w:firstLineChars="200"/>
        <w:rPr>
          <w:rFonts w:hint="default" w:ascii="仿宋" w:hAnsi="仿宋" w:eastAsia="仿宋"/>
          <w:color w:val="000000" w:themeColor="text1"/>
          <w:sz w:val="28"/>
          <w:szCs w:val="28"/>
          <w:lang w:val="en-US" w:eastAsia="zh-CN"/>
          <w14:textFill>
            <w14:solidFill>
              <w14:schemeClr w14:val="tx1"/>
            </w14:solidFill>
          </w14:textFill>
        </w:rPr>
      </w:pPr>
      <w:r>
        <w:rPr>
          <w:rFonts w:hint="eastAsia" w:ascii="仿宋" w:hAnsi="仿宋" w:eastAsia="仿宋"/>
          <w:color w:val="000000"/>
          <w:sz w:val="28"/>
          <w:szCs w:val="28"/>
          <w:lang w:eastAsia="zh-CN"/>
        </w:rPr>
        <w:t>拆解中心</w:t>
      </w:r>
      <w:r>
        <w:rPr>
          <w:rFonts w:hint="eastAsia" w:ascii="仿宋" w:hAnsi="仿宋" w:eastAsia="仿宋"/>
          <w:color w:val="000000"/>
          <w:sz w:val="28"/>
          <w:szCs w:val="28"/>
          <w:lang w:val="en-US" w:eastAsia="zh-CN"/>
        </w:rPr>
        <w:t>定义为对废旧农业机械进行无害化处理，拆除总成和可再利用的零部件，对机体和结构件等进行拆分或压扁、破碎、清洗、储存、运输等活动的场所。该定义参考了《报废机动车回收拆解企业技术规范》（GB 22128-2019）中“拆解”的定义：对报废机动车进行无害化处理、拆除主要总成和可再利用的零部件，对车体和结构件等进行拆分或压扁的过程。</w:t>
      </w:r>
    </w:p>
    <w:p w14:paraId="71D0A1F3">
      <w:pPr>
        <w:pageBreakBefore w:val="0"/>
        <w:kinsoku/>
        <w:wordWrap/>
        <w:overflowPunct/>
        <w:topLinePunct w:val="0"/>
        <w:autoSpaceDE/>
        <w:autoSpaceDN/>
        <w:bidi w:val="0"/>
        <w:ind w:firstLine="560" w:firstLineChars="200"/>
        <w:rPr>
          <w:rFonts w:hint="eastAsia" w:ascii="仿宋" w:hAnsi="仿宋" w:eastAsia="仿宋"/>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8"/>
          <w:szCs w:val="28"/>
          <w:lang w:eastAsia="zh-CN"/>
          <w14:textFill>
            <w14:solidFill>
              <w14:schemeClr w14:val="tx1"/>
            </w14:solidFill>
          </w14:textFill>
        </w:rPr>
        <w:t>信息化管理平台</w:t>
      </w:r>
      <w:r>
        <w:rPr>
          <w:rFonts w:hint="eastAsia" w:ascii="仿宋" w:hAnsi="仿宋" w:eastAsia="仿宋"/>
          <w:color w:val="000000" w:themeColor="text1"/>
          <w:sz w:val="28"/>
          <w:szCs w:val="28"/>
          <w:lang w:val="en-US" w:eastAsia="zh-CN"/>
          <w14:textFill>
            <w14:solidFill>
              <w14:schemeClr w14:val="tx1"/>
            </w14:solidFill>
          </w14:textFill>
        </w:rPr>
        <w:t>定义为利用现代信息技术手段，为报废农业机械回收、拆解等行业提供全面的数据采集、处理、存储、分析及共享服务的系统。该定义参考了《绿色制造 制造企业绿色供应链管理 信息化管理平台规范》（GB/T 39256-2020）中“绿色供应链信息化管理平台”的定义：基于信息技术和生命周期理念构建的能够实现产品设计、采购、生产、流通、回收处置等供应链环节相关绿色信息的收集、处理、分析、共享及披露功能的信息平台。</w:t>
      </w:r>
    </w:p>
    <w:p w14:paraId="1F69B349">
      <w:pPr>
        <w:pageBreakBefore w:val="0"/>
        <w:kinsoku/>
        <w:wordWrap/>
        <w:overflowPunct/>
        <w:topLinePunct w:val="0"/>
        <w:autoSpaceDE/>
        <w:autoSpaceDN/>
        <w:bidi w:val="0"/>
        <w:ind w:firstLine="560" w:firstLineChars="200"/>
        <w:rPr>
          <w:rFonts w:hint="default" w:ascii="仿宋" w:hAnsi="仿宋" w:eastAsia="仿宋" w:cs="仿宋"/>
          <w:color w:val="FF0000"/>
          <w:kern w:val="2"/>
          <w:sz w:val="28"/>
          <w:szCs w:val="28"/>
          <w:lang w:val="en-US" w:eastAsia="zh-CN" w:bidi="ar-SA"/>
        </w:rPr>
      </w:pPr>
      <w:r>
        <w:rPr>
          <w:rFonts w:hint="eastAsia" w:ascii="仿宋" w:hAnsi="仿宋" w:eastAsia="仿宋" w:cs="仿宋"/>
          <w:color w:val="000000"/>
          <w:sz w:val="28"/>
          <w:szCs w:val="28"/>
        </w:rPr>
        <w:t>（4）</w:t>
      </w:r>
      <w:r>
        <w:rPr>
          <w:rFonts w:hint="eastAsia" w:ascii="仿宋" w:hAnsi="仿宋" w:eastAsia="仿宋" w:cs="仿宋"/>
          <w:color w:val="auto"/>
          <w:kern w:val="2"/>
          <w:sz w:val="28"/>
          <w:szCs w:val="28"/>
          <w:lang w:val="en-US" w:eastAsia="zh-CN" w:bidi="ar-SA"/>
        </w:rPr>
        <w:t>废旧农业机械回收体系构成</w:t>
      </w:r>
    </w:p>
    <w:p w14:paraId="4DFF8942">
      <w:pPr>
        <w:pStyle w:val="39"/>
        <w:pageBreakBefore w:val="0"/>
        <w:kinsoku/>
        <w:wordWrap/>
        <w:overflowPunct/>
        <w:topLinePunct w:val="0"/>
        <w:autoSpaceDE/>
        <w:autoSpaceDN/>
        <w:bidi w:val="0"/>
        <w:ind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sz w:val="28"/>
          <w:szCs w:val="28"/>
        </w:rPr>
        <w:t>本部分明确了废旧农业机械回收体系框架</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明确了参与废旧农业机械回收体系建设的各主体</w:t>
      </w:r>
      <w:r>
        <w:rPr>
          <w:rFonts w:hint="eastAsia" w:ascii="仿宋" w:hAnsi="仿宋" w:eastAsia="仿宋" w:cs="仿宋"/>
          <w:color w:val="000000"/>
          <w:sz w:val="28"/>
          <w:szCs w:val="28"/>
        </w:rPr>
        <w:t>。</w:t>
      </w:r>
    </w:p>
    <w:p w14:paraId="66D2675D">
      <w:pPr>
        <w:pStyle w:val="39"/>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说明：废旧农业机械在本文件中也称作报废农业机械。报废农业机械经过回收、拆解，之后再利用和再处理，进入再生资源行业。再生资源行业发展良好，体系建设完善，特此提出回收网点和拆解中心；为方便报废农业机械流通的监管、追溯和管控等，建立信息化管理平台。</w:t>
      </w:r>
    </w:p>
    <w:p w14:paraId="7F3310F5">
      <w:pPr>
        <w:pStyle w:val="39"/>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（5）</w:t>
      </w:r>
      <w:r>
        <w:rPr>
          <w:rFonts w:hint="eastAsia" w:ascii="仿宋" w:hAnsi="仿宋" w:eastAsia="仿宋" w:cs="仿宋"/>
          <w:color w:val="000000" w:themeColor="text1"/>
          <w:sz w:val="28"/>
          <w:szCs w:val="28"/>
          <w:lang w:val="en-US" w:eastAsia="zh-CN"/>
          <w14:textFill>
            <w14:solidFill>
              <w14:schemeClr w14:val="tx1"/>
            </w14:solidFill>
          </w14:textFill>
        </w:rPr>
        <w:t>废旧</w:t>
      </w:r>
      <w:r>
        <w:rPr>
          <w:rFonts w:hint="eastAsia" w:ascii="仿宋" w:hAnsi="仿宋" w:eastAsia="仿宋" w:cs="仿宋"/>
          <w:color w:val="000000"/>
          <w:sz w:val="28"/>
          <w:szCs w:val="28"/>
          <w:lang w:val="en-US" w:eastAsia="zh-CN"/>
        </w:rPr>
        <w:t>农业机械回收体系建设要求</w:t>
      </w:r>
    </w:p>
    <w:p w14:paraId="16A0C272">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rPr>
      </w:pPr>
      <w:r>
        <w:rPr>
          <w:rFonts w:hint="eastAsia" w:ascii="仿宋" w:hAnsi="仿宋" w:eastAsia="仿宋" w:cs="仿宋"/>
          <w:color w:val="000000"/>
          <w:sz w:val="28"/>
          <w:szCs w:val="28"/>
        </w:rPr>
        <w:t>本部分</w:t>
      </w:r>
      <w:r>
        <w:rPr>
          <w:rFonts w:hint="eastAsia" w:ascii="仿宋" w:hAnsi="仿宋" w:eastAsia="仿宋" w:cs="仿宋"/>
          <w:color w:val="000000"/>
          <w:sz w:val="28"/>
          <w:szCs w:val="28"/>
          <w:lang w:val="en-US" w:eastAsia="zh-CN"/>
        </w:rPr>
        <w:t>针对回收网点、拆解中心建设</w:t>
      </w:r>
      <w:r>
        <w:rPr>
          <w:rFonts w:hint="eastAsia" w:ascii="仿宋" w:hAnsi="仿宋" w:eastAsia="仿宋" w:cs="仿宋"/>
          <w:color w:val="000000"/>
          <w:sz w:val="28"/>
          <w:szCs w:val="28"/>
        </w:rPr>
        <w:t>，提出了</w:t>
      </w:r>
      <w:r>
        <w:rPr>
          <w:rFonts w:hint="eastAsia" w:ascii="仿宋" w:hAnsi="仿宋" w:eastAsia="仿宋" w:cs="仿宋"/>
          <w:color w:val="000000"/>
          <w:sz w:val="28"/>
          <w:szCs w:val="28"/>
          <w:lang w:val="en-US" w:eastAsia="zh-CN"/>
        </w:rPr>
        <w:t>设置要求、安全要求、环保要求、场地要求、设备要求、经营要求；针对信息化管理平台提出了建设要求、平台功能要求和安全性要求。</w:t>
      </w:r>
    </w:p>
    <w:p w14:paraId="1071E770">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5.1回收网点</w:t>
      </w:r>
    </w:p>
    <w:p w14:paraId="42DED4CA">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本标准参考《再生资源回收体系的建设》（GB/T 37515-2019）对回收网点的设置、安全、环保、场地、设备、经营等提出具体要求。</w:t>
      </w:r>
      <w:r>
        <w:rPr>
          <w:rFonts w:hint="eastAsia" w:ascii="仿宋" w:hAnsi="仿宋" w:eastAsia="仿宋" w:cs="仿宋"/>
          <w:color w:val="000000"/>
          <w:sz w:val="28"/>
          <w:szCs w:val="28"/>
          <w:lang w:val="en-US" w:eastAsia="zh-CN"/>
        </w:rPr>
        <w:t>按照报废农业机械存储量和时间差异，回收网点分为暂存型的收集型回收网点和长期存放型的集中储存型回收网点。</w:t>
      </w:r>
    </w:p>
    <w:p w14:paraId="1B3A8383">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5.1.1设置原则</w:t>
      </w:r>
    </w:p>
    <w:p w14:paraId="4106DC57">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回收网点设置应根据服务区域和报废农业机械的产生量等实际情况统一规划，因地制宜设置，宜设置在维修服务网点、农机服务经营组织、拆解中心等场所。收集型回收网点和集中储存型回收网点宜按相应区域农业机械保有量设置，同时出于回收网点便民服务的考虑，收集型回收网点宜按村、乡（镇）设置，服务半径宜不超过10 km，集中储存型回收网点宜按乡（镇）设置，服务半径宜不低于10 km。</w:t>
      </w:r>
    </w:p>
    <w:p w14:paraId="54609391">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5.1.2安全要求</w:t>
      </w:r>
    </w:p>
    <w:p w14:paraId="4167D4C6">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回收网点应具有灭火器材,应具有与服务内容相适应和必要数量的消防器材。回收网点的建筑设计应符合GB 50016规定的安全要求。</w:t>
      </w:r>
    </w:p>
    <w:p w14:paraId="0BC99EAE">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5.1.3环保要求</w:t>
      </w:r>
    </w:p>
    <w:p w14:paraId="405A543A">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 xml:space="preserve">回收网点环境环保应符合GB </w:t>
      </w:r>
      <w:r>
        <w:rPr>
          <w:rFonts w:hint="default" w:ascii="仿宋" w:hAnsi="仿宋" w:eastAsia="仿宋" w:cs="仿宋"/>
          <w:color w:val="000000"/>
          <w:sz w:val="28"/>
          <w:szCs w:val="28"/>
          <w:vertAlign w:val="baseline"/>
          <w:lang w:val="en-US" w:eastAsia="zh-CN"/>
        </w:rPr>
        <w:t>18597</w:t>
      </w:r>
      <w:r>
        <w:rPr>
          <w:rFonts w:hint="eastAsia" w:ascii="仿宋" w:hAnsi="仿宋" w:eastAsia="仿宋" w:cs="仿宋"/>
          <w:color w:val="000000"/>
          <w:sz w:val="28"/>
          <w:szCs w:val="28"/>
          <w:vertAlign w:val="baseline"/>
          <w:lang w:val="en-US" w:eastAsia="zh-CN"/>
        </w:rPr>
        <w:t>要求。</w:t>
      </w:r>
      <w:r>
        <w:rPr>
          <w:rFonts w:hint="default" w:ascii="仿宋" w:hAnsi="仿宋" w:eastAsia="仿宋" w:cs="仿宋"/>
          <w:color w:val="000000"/>
          <w:sz w:val="28"/>
          <w:szCs w:val="28"/>
          <w:vertAlign w:val="baseline"/>
          <w:lang w:val="en-US" w:eastAsia="zh-CN"/>
        </w:rPr>
        <w:t>集中储存型回收网点宜具有环保管理制度，具备废液、废物等收集及储存能力。</w:t>
      </w:r>
    </w:p>
    <w:p w14:paraId="50F4F0E2">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5.1.4场地要求</w:t>
      </w:r>
    </w:p>
    <w:p w14:paraId="3DE18EBF">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lang w:val="en-US" w:eastAsia="zh-CN"/>
        </w:rPr>
        <w:t>出于安全考虑，办公区、储存场应分别设置。办公区域应至少包含两套占地面积为5 m</w:t>
      </w:r>
      <w:r>
        <w:rPr>
          <w:rFonts w:hint="eastAsia" w:ascii="仿宋" w:hAnsi="仿宋" w:eastAsia="仿宋" w:cs="仿宋"/>
          <w:color w:val="000000"/>
          <w:sz w:val="28"/>
          <w:szCs w:val="28"/>
          <w:vertAlign w:val="superscript"/>
          <w:lang w:val="en-US" w:eastAsia="zh-CN"/>
        </w:rPr>
        <w:t>2</w:t>
      </w:r>
      <w:r>
        <w:rPr>
          <w:rFonts w:hint="eastAsia" w:ascii="仿宋" w:hAnsi="仿宋" w:eastAsia="仿宋" w:cs="仿宋"/>
          <w:color w:val="000000"/>
          <w:sz w:val="28"/>
          <w:szCs w:val="28"/>
          <w:vertAlign w:val="baseline"/>
          <w:lang w:val="en-US" w:eastAsia="zh-CN"/>
        </w:rPr>
        <w:t xml:space="preserve">的桌椅，一套占地面积为10 </w:t>
      </w:r>
      <w:r>
        <w:rPr>
          <w:rFonts w:hint="eastAsia" w:ascii="仿宋" w:hAnsi="仿宋" w:eastAsia="仿宋" w:cs="仿宋"/>
          <w:color w:val="000000"/>
          <w:sz w:val="28"/>
          <w:szCs w:val="28"/>
          <w:lang w:val="en-US" w:eastAsia="zh-CN"/>
        </w:rPr>
        <w:t>m</w:t>
      </w:r>
      <w:r>
        <w:rPr>
          <w:rFonts w:hint="eastAsia" w:ascii="仿宋" w:hAnsi="仿宋" w:eastAsia="仿宋" w:cs="仿宋"/>
          <w:color w:val="000000"/>
          <w:sz w:val="28"/>
          <w:szCs w:val="28"/>
          <w:vertAlign w:val="superscript"/>
          <w:lang w:val="en-US" w:eastAsia="zh-CN"/>
        </w:rPr>
        <w:t>2</w:t>
      </w:r>
      <w:r>
        <w:rPr>
          <w:rFonts w:hint="eastAsia" w:ascii="仿宋" w:hAnsi="仿宋" w:eastAsia="仿宋" w:cs="仿宋"/>
          <w:color w:val="000000"/>
          <w:sz w:val="28"/>
          <w:szCs w:val="28"/>
          <w:vertAlign w:val="baseline"/>
          <w:lang w:val="en-US" w:eastAsia="zh-CN"/>
        </w:rPr>
        <w:t xml:space="preserve">的桌椅，以及人行通道，共计30 </w:t>
      </w:r>
      <w:r>
        <w:rPr>
          <w:rFonts w:hint="eastAsia" w:ascii="仿宋" w:hAnsi="仿宋" w:eastAsia="仿宋" w:cs="仿宋"/>
          <w:color w:val="000000"/>
          <w:sz w:val="28"/>
          <w:szCs w:val="28"/>
          <w:lang w:val="en-US" w:eastAsia="zh-CN"/>
        </w:rPr>
        <w:t>m</w:t>
      </w:r>
      <w:r>
        <w:rPr>
          <w:rFonts w:hint="eastAsia" w:ascii="仿宋" w:hAnsi="仿宋" w:eastAsia="仿宋" w:cs="仿宋"/>
          <w:color w:val="000000"/>
          <w:sz w:val="28"/>
          <w:szCs w:val="28"/>
          <w:vertAlign w:val="superscript"/>
          <w:lang w:val="en-US" w:eastAsia="zh-CN"/>
        </w:rPr>
        <w:t>2</w:t>
      </w:r>
      <w:r>
        <w:rPr>
          <w:rFonts w:hint="eastAsia" w:ascii="仿宋" w:hAnsi="仿宋" w:eastAsia="仿宋" w:cs="仿宋"/>
          <w:color w:val="000000"/>
          <w:sz w:val="28"/>
          <w:szCs w:val="28"/>
          <w:vertAlign w:val="baseline"/>
          <w:lang w:val="en-US" w:eastAsia="zh-CN"/>
        </w:rPr>
        <w:t>。</w:t>
      </w:r>
      <w:r>
        <w:rPr>
          <w:rFonts w:hint="default" w:ascii="仿宋" w:hAnsi="仿宋" w:eastAsia="仿宋" w:cs="仿宋"/>
          <w:color w:val="000000"/>
          <w:sz w:val="28"/>
          <w:szCs w:val="28"/>
          <w:vertAlign w:val="baseline"/>
          <w:lang w:val="en-US" w:eastAsia="zh-CN"/>
        </w:rPr>
        <w:t>收集型回收网点</w:t>
      </w:r>
      <w:r>
        <w:rPr>
          <w:rFonts w:hint="eastAsia" w:ascii="仿宋" w:hAnsi="仿宋" w:eastAsia="仿宋" w:cs="仿宋"/>
          <w:color w:val="000000"/>
          <w:sz w:val="28"/>
          <w:szCs w:val="28"/>
          <w:vertAlign w:val="baseline"/>
          <w:lang w:val="en-US" w:eastAsia="zh-CN"/>
        </w:rPr>
        <w:t>应至少具备暂存5台报废农业机械的面积的空间，</w:t>
      </w:r>
      <w:r>
        <w:rPr>
          <w:rFonts w:hint="default" w:ascii="仿宋" w:hAnsi="仿宋" w:eastAsia="仿宋" w:cs="仿宋"/>
          <w:color w:val="000000"/>
          <w:sz w:val="28"/>
          <w:szCs w:val="28"/>
          <w:vertAlign w:val="baseline"/>
          <w:lang w:val="en-US" w:eastAsia="zh-CN"/>
        </w:rPr>
        <w:t>集中储存型回收网点</w:t>
      </w:r>
      <w:r>
        <w:rPr>
          <w:rFonts w:hint="eastAsia" w:ascii="仿宋" w:hAnsi="仿宋" w:eastAsia="仿宋" w:cs="仿宋"/>
          <w:color w:val="000000"/>
          <w:sz w:val="28"/>
          <w:szCs w:val="28"/>
          <w:vertAlign w:val="baseline"/>
          <w:lang w:val="en-US" w:eastAsia="zh-CN"/>
        </w:rPr>
        <w:t>应至少具备暂存5台报废农业机械的面积的空间。</w:t>
      </w:r>
    </w:p>
    <w:p w14:paraId="0EBBD2B2">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在回收过程中农业机械可能存在漏油、漏水等情况，集中储存型回收网点地面应做防水、防渗漏处理，有特殊要求的地面应做防腐蚀处理，一般地面为混凝土地面。</w:t>
      </w:r>
    </w:p>
    <w:p w14:paraId="65506723">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lang w:val="en-US" w:eastAsia="zh-CN"/>
        </w:rPr>
        <w:t>废旧动力蓄电池属于危险化学品，</w:t>
      </w:r>
      <w:r>
        <w:rPr>
          <w:rFonts w:hint="default" w:ascii="仿宋" w:hAnsi="仿宋" w:eastAsia="仿宋" w:cs="仿宋"/>
          <w:color w:val="000000"/>
          <w:sz w:val="28"/>
          <w:szCs w:val="28"/>
          <w:vertAlign w:val="baseline"/>
          <w:lang w:val="en-US" w:eastAsia="zh-CN"/>
        </w:rPr>
        <w:t>集中储存型</w:t>
      </w:r>
      <w:r>
        <w:rPr>
          <w:rFonts w:hint="eastAsia" w:ascii="仿宋" w:hAnsi="仿宋" w:eastAsia="仿宋" w:cs="仿宋"/>
          <w:color w:val="000000"/>
          <w:sz w:val="28"/>
          <w:szCs w:val="28"/>
          <w:lang w:val="en-US" w:eastAsia="zh-CN"/>
        </w:rPr>
        <w:t>回收网点应设置储存电池的场所。</w:t>
      </w:r>
    </w:p>
    <w:p w14:paraId="21887B06">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5.1.5设备要求</w:t>
      </w:r>
    </w:p>
    <w:p w14:paraId="65C71714">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vertAlign w:val="baseline"/>
          <w:lang w:val="en-US" w:eastAsia="zh-CN"/>
        </w:rPr>
      </w:pPr>
      <w:r>
        <w:rPr>
          <w:rFonts w:hint="default" w:ascii="仿宋" w:hAnsi="仿宋" w:eastAsia="仿宋" w:cs="仿宋"/>
          <w:color w:val="000000"/>
          <w:sz w:val="28"/>
          <w:szCs w:val="28"/>
          <w:vertAlign w:val="baseline"/>
          <w:lang w:val="en-US" w:eastAsia="zh-CN"/>
        </w:rPr>
        <w:t>收集型回收网点应具备的设备包括但不限于电脑、打印机、拍照设备。</w:t>
      </w:r>
    </w:p>
    <w:p w14:paraId="66D06250">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vertAlign w:val="baseline"/>
          <w:lang w:val="en-US" w:eastAsia="zh-CN"/>
        </w:rPr>
      </w:pPr>
      <w:r>
        <w:rPr>
          <w:rFonts w:hint="default" w:ascii="仿宋" w:hAnsi="仿宋" w:eastAsia="仿宋" w:cs="仿宋"/>
          <w:color w:val="000000"/>
          <w:sz w:val="28"/>
          <w:szCs w:val="28"/>
          <w:vertAlign w:val="baseline"/>
          <w:lang w:val="en-US" w:eastAsia="zh-CN"/>
        </w:rPr>
        <w:t>集中储存型回收网点应具备的设备包括但不限于电脑、打印机、拍照设备、监控系统、地磅、叉车、防渗漏设备。</w:t>
      </w:r>
    </w:p>
    <w:p w14:paraId="575FF172">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5.1.6经营要求</w:t>
      </w:r>
    </w:p>
    <w:p w14:paraId="08F57105">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default" w:ascii="仿宋" w:hAnsi="仿宋" w:eastAsia="仿宋" w:cs="仿宋"/>
          <w:color w:val="000000"/>
          <w:sz w:val="28"/>
          <w:szCs w:val="28"/>
          <w:lang w:val="en-US" w:eastAsia="zh-CN"/>
        </w:rPr>
        <w:t>应在营业场所显著位置设置提示性信息，内容应包含“报废农业机械回收网点”等字样。</w:t>
      </w:r>
    </w:p>
    <w:p w14:paraId="1807A570">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回收网点</w:t>
      </w:r>
      <w:r>
        <w:rPr>
          <w:rFonts w:hint="default" w:ascii="仿宋" w:hAnsi="仿宋" w:eastAsia="仿宋" w:cs="仿宋"/>
          <w:color w:val="000000"/>
          <w:sz w:val="28"/>
          <w:szCs w:val="28"/>
          <w:lang w:val="en-US" w:eastAsia="zh-CN"/>
        </w:rPr>
        <w:t>应制定</w:t>
      </w:r>
      <w:r>
        <w:rPr>
          <w:rFonts w:hint="eastAsia" w:ascii="仿宋" w:hAnsi="仿宋" w:eastAsia="仿宋" w:cs="仿宋"/>
          <w:color w:val="000000"/>
          <w:sz w:val="28"/>
          <w:szCs w:val="28"/>
          <w:lang w:val="en-US" w:eastAsia="zh-CN"/>
        </w:rPr>
        <w:t>并明示工作和业务流程图、文等，保证报废农业机械所有者明确回收流程，规范操作流程</w:t>
      </w:r>
      <w:r>
        <w:rPr>
          <w:rFonts w:hint="default" w:ascii="仿宋" w:hAnsi="仿宋" w:eastAsia="仿宋" w:cs="仿宋"/>
          <w:color w:val="000000"/>
          <w:sz w:val="28"/>
          <w:szCs w:val="28"/>
          <w:lang w:val="en-US" w:eastAsia="zh-CN"/>
        </w:rPr>
        <w:t>。</w:t>
      </w:r>
    </w:p>
    <w:p w14:paraId="2DC1EC14">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报废农业机械回收拆解过程中应保证农业机械来源唯一性和合法性等，因此</w:t>
      </w:r>
      <w:r>
        <w:rPr>
          <w:rFonts w:hint="default" w:ascii="仿宋" w:hAnsi="仿宋" w:eastAsia="仿宋" w:cs="仿宋"/>
          <w:color w:val="000000"/>
          <w:sz w:val="28"/>
          <w:szCs w:val="28"/>
          <w:lang w:val="en-US" w:eastAsia="zh-CN"/>
        </w:rPr>
        <w:t>应记录的</w:t>
      </w:r>
      <w:r>
        <w:rPr>
          <w:rFonts w:hint="eastAsia" w:ascii="仿宋" w:hAnsi="仿宋" w:eastAsia="仿宋" w:cs="仿宋"/>
          <w:color w:val="000000"/>
          <w:sz w:val="28"/>
          <w:szCs w:val="28"/>
          <w:lang w:val="en-US" w:eastAsia="zh-CN"/>
        </w:rPr>
        <w:t>农业机械所有者和农业机械的信息，应建立电子和纸质档案记录回收拆解农业机械者和农业机械的信息，保存农业机械的铭牌，方便后期信息核实和流通信息追溯。</w:t>
      </w:r>
      <w:r>
        <w:rPr>
          <w:rFonts w:hint="default" w:ascii="仿宋" w:hAnsi="仿宋" w:eastAsia="仿宋" w:cs="仿宋"/>
          <w:color w:val="000000"/>
          <w:sz w:val="28"/>
          <w:szCs w:val="28"/>
          <w:lang w:val="en-US" w:eastAsia="zh-CN"/>
        </w:rPr>
        <w:t>纸质档案和铭牌档案保存期限应不少于3年，电子档案保存期限应不少于5年。</w:t>
      </w:r>
    </w:p>
    <w:p w14:paraId="4548C96A">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default" w:ascii="仿宋" w:hAnsi="仿宋" w:eastAsia="仿宋" w:cs="仿宋"/>
          <w:color w:val="000000"/>
          <w:sz w:val="28"/>
          <w:szCs w:val="28"/>
          <w:lang w:val="en-US" w:eastAsia="zh-CN"/>
        </w:rPr>
        <w:t>从业人员宜接受职业道德教育和岗位知识、技能培训</w:t>
      </w:r>
      <w:r>
        <w:rPr>
          <w:rFonts w:hint="eastAsia" w:ascii="仿宋" w:hAnsi="仿宋" w:eastAsia="仿宋" w:cs="仿宋"/>
          <w:color w:val="000000"/>
          <w:sz w:val="28"/>
          <w:szCs w:val="28"/>
          <w:lang w:val="en-US" w:eastAsia="zh-CN"/>
        </w:rPr>
        <w:t>，了解所服务的行业和掌握基本操作技能</w:t>
      </w:r>
      <w:r>
        <w:rPr>
          <w:rFonts w:hint="default" w:ascii="仿宋" w:hAnsi="仿宋" w:eastAsia="仿宋" w:cs="仿宋"/>
          <w:color w:val="000000"/>
          <w:sz w:val="28"/>
          <w:szCs w:val="28"/>
          <w:lang w:val="en-US" w:eastAsia="zh-CN"/>
        </w:rPr>
        <w:t>。</w:t>
      </w:r>
      <w:r>
        <w:rPr>
          <w:rFonts w:hint="eastAsia" w:ascii="仿宋" w:hAnsi="仿宋" w:eastAsia="仿宋" w:cs="仿宋"/>
          <w:color w:val="000000"/>
          <w:sz w:val="28"/>
          <w:szCs w:val="28"/>
          <w:lang w:val="en-US" w:eastAsia="zh-CN"/>
        </w:rPr>
        <w:t>像叉车等</w:t>
      </w:r>
      <w:r>
        <w:rPr>
          <w:rFonts w:hint="default" w:ascii="仿宋" w:hAnsi="仿宋" w:eastAsia="仿宋" w:cs="仿宋"/>
          <w:color w:val="000000"/>
          <w:sz w:val="28"/>
          <w:szCs w:val="28"/>
          <w:lang w:val="en-US" w:eastAsia="zh-CN"/>
        </w:rPr>
        <w:t>特种设备操作人员应取得相应资格后方可上岗。</w:t>
      </w:r>
    </w:p>
    <w:p w14:paraId="15FB6593">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5.2拆解中心。</w:t>
      </w:r>
    </w:p>
    <w:p w14:paraId="6CCF4C0F">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本标准参考《报废机动车回收拆解企业技术规范》（GB 22128-2019）和《报废农业机械回收拆解技术规范》（NY/T 2900-2022），对拆解中心的设置、安全、环保、场地、设备、经营提出具体要求。</w:t>
      </w:r>
    </w:p>
    <w:p w14:paraId="69FF9451">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5.2.1设置要求</w:t>
      </w:r>
    </w:p>
    <w:p w14:paraId="2F2AF5C9">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根据实地调研和资料查询等，拆解中心可分为Ⅰ档、Ⅱ档、Ⅲ档、Ⅳ档、Ⅴ档五个级别。各级别拆解中心的年拆解产能和经营面积要求见表1。</w:t>
      </w:r>
    </w:p>
    <w:p w14:paraId="7233F4F6">
      <w:pPr>
        <w:pStyle w:val="72"/>
        <w:spacing w:before="156" w:after="156"/>
        <w:rPr>
          <w:rFonts w:hint="eastAsia" w:ascii="仿宋" w:hAnsi="仿宋" w:eastAsia="仿宋" w:cs="仿宋"/>
          <w:color w:val="000000"/>
          <w:sz w:val="28"/>
          <w:szCs w:val="28"/>
          <w:lang w:val="en-US" w:eastAsia="zh-CN"/>
        </w:rPr>
      </w:pPr>
      <w:r>
        <w:rPr>
          <w:rFonts w:hint="eastAsia"/>
          <w:lang w:val="en-US" w:eastAsia="zh-CN"/>
        </w:rPr>
        <w:t xml:space="preserve">表1 </w:t>
      </w:r>
      <w:r>
        <w:rPr>
          <w:rFonts w:hint="eastAsia"/>
        </w:rPr>
        <w:t>拆解中心年拆解产能和经营面积</w:t>
      </w:r>
    </w:p>
    <w:tbl>
      <w:tblPr>
        <w:tblStyle w:val="57"/>
        <w:tblW w:w="701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988"/>
        <w:gridCol w:w="2687"/>
        <w:gridCol w:w="2338"/>
      </w:tblGrid>
      <w:tr w14:paraId="2A3D19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tcBorders>
              <w:top w:val="single" w:color="auto" w:sz="8" w:space="0"/>
              <w:left w:val="single" w:color="auto" w:sz="8" w:space="0"/>
              <w:bottom w:val="single" w:color="auto" w:sz="8" w:space="0"/>
              <w:right w:val="single" w:color="auto" w:sz="4" w:space="0"/>
            </w:tcBorders>
            <w:shd w:val="clear" w:color="auto" w:fill="auto"/>
            <w:vAlign w:val="center"/>
          </w:tcPr>
          <w:p w14:paraId="725608F5">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拆解中心类型</w:t>
            </w:r>
          </w:p>
        </w:tc>
        <w:tc>
          <w:tcPr>
            <w:tcW w:w="2687" w:type="dxa"/>
            <w:tcBorders>
              <w:top w:val="single" w:color="auto" w:sz="8" w:space="0"/>
              <w:left w:val="single" w:color="auto" w:sz="4" w:space="0"/>
              <w:bottom w:val="single" w:color="auto" w:sz="8" w:space="0"/>
              <w:right w:val="single" w:color="auto" w:sz="4" w:space="0"/>
            </w:tcBorders>
            <w:shd w:val="clear" w:color="auto" w:fill="auto"/>
            <w:vAlign w:val="center"/>
          </w:tcPr>
          <w:p w14:paraId="6CAE1C4D">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拆解中心年拆解产能/台套</w:t>
            </w:r>
          </w:p>
        </w:tc>
        <w:tc>
          <w:tcPr>
            <w:tcW w:w="2338" w:type="dxa"/>
            <w:tcBorders>
              <w:top w:val="single" w:color="auto" w:sz="8" w:space="0"/>
              <w:left w:val="single" w:color="auto" w:sz="4" w:space="0"/>
              <w:bottom w:val="single" w:color="auto" w:sz="8" w:space="0"/>
              <w:right w:val="single" w:color="auto" w:sz="8" w:space="0"/>
            </w:tcBorders>
            <w:shd w:val="clear" w:color="auto" w:fill="auto"/>
            <w:vAlign w:val="center"/>
          </w:tcPr>
          <w:p w14:paraId="03557D8A">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经营面积/m2</w:t>
            </w:r>
          </w:p>
        </w:tc>
      </w:tr>
      <w:tr w14:paraId="1CC57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tcBorders>
              <w:top w:val="single" w:color="auto" w:sz="8" w:space="0"/>
              <w:left w:val="single" w:color="auto" w:sz="8" w:space="0"/>
              <w:bottom w:val="single" w:color="auto" w:sz="4" w:space="0"/>
              <w:right w:val="single" w:color="auto" w:sz="4" w:space="0"/>
            </w:tcBorders>
            <w:shd w:val="clear" w:color="auto" w:fill="auto"/>
            <w:vAlign w:val="top"/>
          </w:tcPr>
          <w:p w14:paraId="25760198">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Ⅰ档</w:t>
            </w:r>
          </w:p>
        </w:tc>
        <w:tc>
          <w:tcPr>
            <w:tcW w:w="2687" w:type="dxa"/>
            <w:tcBorders>
              <w:top w:val="single" w:color="auto" w:sz="8" w:space="0"/>
              <w:left w:val="single" w:color="auto" w:sz="4" w:space="0"/>
              <w:bottom w:val="single" w:color="auto" w:sz="4" w:space="0"/>
              <w:right w:val="single" w:color="auto" w:sz="4" w:space="0"/>
            </w:tcBorders>
            <w:shd w:val="clear" w:color="auto" w:fill="auto"/>
            <w:vAlign w:val="center"/>
          </w:tcPr>
          <w:p w14:paraId="76512EED">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≥5000</w:t>
            </w:r>
          </w:p>
        </w:tc>
        <w:tc>
          <w:tcPr>
            <w:tcW w:w="2338" w:type="dxa"/>
            <w:tcBorders>
              <w:top w:val="single" w:color="auto" w:sz="8" w:space="0"/>
              <w:left w:val="single" w:color="auto" w:sz="4" w:space="0"/>
              <w:bottom w:val="single" w:color="auto" w:sz="4" w:space="0"/>
              <w:right w:val="single" w:color="auto" w:sz="8" w:space="0"/>
            </w:tcBorders>
            <w:shd w:val="clear" w:color="auto" w:fill="auto"/>
            <w:vAlign w:val="center"/>
          </w:tcPr>
          <w:p w14:paraId="6DBAAC5E">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≥10000</w:t>
            </w:r>
          </w:p>
        </w:tc>
      </w:tr>
      <w:tr w14:paraId="38206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0" w:type="dxa"/>
            <w:bottom w:w="0" w:type="dxa"/>
            <w:right w:w="0" w:type="dxa"/>
          </w:tblCellMar>
        </w:tblPrEx>
        <w:trPr>
          <w:jc w:val="center"/>
        </w:trPr>
        <w:tc>
          <w:tcPr>
            <w:tcW w:w="1988" w:type="dxa"/>
            <w:tcBorders>
              <w:top w:val="single" w:color="auto" w:sz="4" w:space="0"/>
              <w:left w:val="single" w:color="auto" w:sz="8" w:space="0"/>
              <w:bottom w:val="single" w:color="auto" w:sz="4" w:space="0"/>
              <w:right w:val="single" w:color="auto" w:sz="4" w:space="0"/>
            </w:tcBorders>
            <w:shd w:val="clear" w:color="auto" w:fill="auto"/>
            <w:vAlign w:val="top"/>
          </w:tcPr>
          <w:p w14:paraId="532B7426">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Ⅱ档</w:t>
            </w:r>
          </w:p>
        </w:tc>
        <w:tc>
          <w:tcPr>
            <w:tcW w:w="2687" w:type="dxa"/>
            <w:tcBorders>
              <w:top w:val="single" w:color="auto" w:sz="4" w:space="0"/>
              <w:left w:val="single" w:color="auto" w:sz="4" w:space="0"/>
              <w:bottom w:val="single" w:color="auto" w:sz="4" w:space="0"/>
              <w:right w:val="single" w:color="auto" w:sz="4" w:space="0"/>
            </w:tcBorders>
            <w:shd w:val="clear" w:color="auto" w:fill="auto"/>
            <w:vAlign w:val="center"/>
          </w:tcPr>
          <w:p w14:paraId="2BAEF594">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≥2000</w:t>
            </w:r>
          </w:p>
        </w:tc>
        <w:tc>
          <w:tcPr>
            <w:tcW w:w="2338" w:type="dxa"/>
            <w:tcBorders>
              <w:top w:val="single" w:color="auto" w:sz="4" w:space="0"/>
              <w:left w:val="single" w:color="auto" w:sz="4" w:space="0"/>
              <w:bottom w:val="single" w:color="auto" w:sz="4" w:space="0"/>
              <w:right w:val="single" w:color="auto" w:sz="8" w:space="0"/>
            </w:tcBorders>
            <w:shd w:val="clear" w:color="auto" w:fill="auto"/>
            <w:vAlign w:val="center"/>
          </w:tcPr>
          <w:p w14:paraId="2CD3197A">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5000～10000</w:t>
            </w:r>
          </w:p>
        </w:tc>
      </w:tr>
      <w:tr w14:paraId="10B670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0" w:type="dxa"/>
            <w:bottom w:w="0" w:type="dxa"/>
            <w:right w:w="0" w:type="dxa"/>
          </w:tblCellMar>
        </w:tblPrEx>
        <w:trPr>
          <w:jc w:val="center"/>
        </w:trPr>
        <w:tc>
          <w:tcPr>
            <w:tcW w:w="1988" w:type="dxa"/>
            <w:tcBorders>
              <w:top w:val="single" w:color="auto" w:sz="4" w:space="0"/>
              <w:left w:val="single" w:color="auto" w:sz="8" w:space="0"/>
              <w:bottom w:val="single" w:color="auto" w:sz="4" w:space="0"/>
              <w:right w:val="single" w:color="auto" w:sz="4" w:space="0"/>
            </w:tcBorders>
            <w:shd w:val="clear" w:color="auto" w:fill="auto"/>
            <w:vAlign w:val="top"/>
          </w:tcPr>
          <w:p w14:paraId="544F725B">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Ⅲ档</w:t>
            </w:r>
          </w:p>
        </w:tc>
        <w:tc>
          <w:tcPr>
            <w:tcW w:w="2687" w:type="dxa"/>
            <w:tcBorders>
              <w:top w:val="single" w:color="auto" w:sz="4" w:space="0"/>
              <w:left w:val="single" w:color="auto" w:sz="4" w:space="0"/>
              <w:bottom w:val="single" w:color="auto" w:sz="4" w:space="0"/>
              <w:right w:val="single" w:color="auto" w:sz="4" w:space="0"/>
            </w:tcBorders>
            <w:shd w:val="clear" w:color="auto" w:fill="auto"/>
            <w:vAlign w:val="center"/>
          </w:tcPr>
          <w:p w14:paraId="10F2295A">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≥1000</w:t>
            </w:r>
          </w:p>
        </w:tc>
        <w:tc>
          <w:tcPr>
            <w:tcW w:w="2338" w:type="dxa"/>
            <w:tcBorders>
              <w:top w:val="single" w:color="auto" w:sz="4" w:space="0"/>
              <w:left w:val="single" w:color="auto" w:sz="4" w:space="0"/>
              <w:bottom w:val="single" w:color="auto" w:sz="4" w:space="0"/>
              <w:right w:val="single" w:color="auto" w:sz="8" w:space="0"/>
            </w:tcBorders>
            <w:shd w:val="clear" w:color="auto" w:fill="auto"/>
            <w:vAlign w:val="center"/>
          </w:tcPr>
          <w:p w14:paraId="7BBDCB87">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2000～5000</w:t>
            </w:r>
          </w:p>
        </w:tc>
      </w:tr>
      <w:tr w14:paraId="04E339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tcBorders>
              <w:top w:val="single" w:color="auto" w:sz="4" w:space="0"/>
              <w:left w:val="single" w:color="auto" w:sz="8" w:space="0"/>
              <w:bottom w:val="single" w:color="auto" w:sz="4" w:space="0"/>
              <w:right w:val="single" w:color="auto" w:sz="4" w:space="0"/>
            </w:tcBorders>
            <w:shd w:val="clear" w:color="auto" w:fill="auto"/>
            <w:vAlign w:val="top"/>
          </w:tcPr>
          <w:p w14:paraId="4EEEF2AA">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Ⅳ档</w:t>
            </w:r>
          </w:p>
        </w:tc>
        <w:tc>
          <w:tcPr>
            <w:tcW w:w="2687" w:type="dxa"/>
            <w:tcBorders>
              <w:top w:val="single" w:color="auto" w:sz="4" w:space="0"/>
              <w:left w:val="single" w:color="auto" w:sz="4" w:space="0"/>
              <w:bottom w:val="single" w:color="auto" w:sz="4" w:space="0"/>
              <w:right w:val="single" w:color="auto" w:sz="4" w:space="0"/>
            </w:tcBorders>
            <w:shd w:val="clear" w:color="auto" w:fill="auto"/>
            <w:vAlign w:val="center"/>
          </w:tcPr>
          <w:p w14:paraId="2D9B5D7B">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≥500</w:t>
            </w:r>
          </w:p>
        </w:tc>
        <w:tc>
          <w:tcPr>
            <w:tcW w:w="2338" w:type="dxa"/>
            <w:tcBorders>
              <w:top w:val="single" w:color="auto" w:sz="4" w:space="0"/>
              <w:left w:val="single" w:color="auto" w:sz="4" w:space="0"/>
              <w:bottom w:val="single" w:color="auto" w:sz="4" w:space="0"/>
              <w:right w:val="single" w:color="auto" w:sz="8" w:space="0"/>
            </w:tcBorders>
            <w:shd w:val="clear" w:color="auto" w:fill="auto"/>
            <w:vAlign w:val="center"/>
          </w:tcPr>
          <w:p w14:paraId="102EAB0B">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1000～2000</w:t>
            </w:r>
          </w:p>
        </w:tc>
      </w:tr>
      <w:tr w14:paraId="7EE414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tcBorders>
              <w:top w:val="single" w:color="auto" w:sz="4" w:space="0"/>
              <w:left w:val="single" w:color="auto" w:sz="8" w:space="0"/>
              <w:bottom w:val="single" w:color="auto" w:sz="8" w:space="0"/>
              <w:right w:val="single" w:color="auto" w:sz="4" w:space="0"/>
            </w:tcBorders>
            <w:shd w:val="clear" w:color="auto" w:fill="auto"/>
            <w:vAlign w:val="top"/>
          </w:tcPr>
          <w:p w14:paraId="56EE630E">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Ⅴ档</w:t>
            </w:r>
          </w:p>
        </w:tc>
        <w:tc>
          <w:tcPr>
            <w:tcW w:w="2687" w:type="dxa"/>
            <w:tcBorders>
              <w:top w:val="single" w:color="auto" w:sz="4" w:space="0"/>
              <w:left w:val="single" w:color="auto" w:sz="4" w:space="0"/>
              <w:bottom w:val="single" w:color="auto" w:sz="8" w:space="0"/>
              <w:right w:val="single" w:color="auto" w:sz="4" w:space="0"/>
            </w:tcBorders>
            <w:shd w:val="clear" w:color="auto" w:fill="auto"/>
            <w:vAlign w:val="center"/>
          </w:tcPr>
          <w:p w14:paraId="4F6E21E0">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≥200</w:t>
            </w:r>
          </w:p>
        </w:tc>
        <w:tc>
          <w:tcPr>
            <w:tcW w:w="2338" w:type="dxa"/>
            <w:tcBorders>
              <w:top w:val="single" w:color="auto" w:sz="4" w:space="0"/>
              <w:left w:val="single" w:color="auto" w:sz="4" w:space="0"/>
              <w:bottom w:val="single" w:color="auto" w:sz="8" w:space="0"/>
              <w:right w:val="single" w:color="auto" w:sz="8" w:space="0"/>
            </w:tcBorders>
            <w:shd w:val="clear" w:color="auto" w:fill="auto"/>
            <w:vAlign w:val="center"/>
          </w:tcPr>
          <w:p w14:paraId="433CF68E">
            <w:pPr>
              <w:pStyle w:val="21"/>
              <w:keepNext w:val="0"/>
              <w:keepLines w:val="0"/>
              <w:widowControl/>
              <w:suppressLineNumbers w:val="0"/>
              <w:autoSpaceDE w:val="0"/>
              <w:autoSpaceDN w:val="0"/>
              <w:spacing w:before="0" w:beforeAutospacing="0" w:after="0" w:afterAutospacing="0"/>
              <w:ind w:left="0" w:right="0" w:firstLine="0" w:firstLineChars="0"/>
              <w:jc w:val="center"/>
              <w:rPr>
                <w:rFonts w:hint="eastAsia" w:ascii="宋体" w:hAnsi="Times New Roman" w:eastAsia="宋体" w:cs="Times New Roman"/>
                <w:sz w:val="18"/>
                <w:szCs w:val="18"/>
              </w:rPr>
            </w:pPr>
            <w:r>
              <w:rPr>
                <w:rFonts w:hint="eastAsia" w:ascii="宋体" w:hAnsi="宋体" w:eastAsia="宋体" w:cs="宋体"/>
                <w:kern w:val="0"/>
                <w:sz w:val="18"/>
                <w:szCs w:val="18"/>
                <w:lang w:val="en-US" w:eastAsia="zh-CN" w:bidi="ar"/>
              </w:rPr>
              <w:t>500～1000</w:t>
            </w:r>
          </w:p>
        </w:tc>
      </w:tr>
    </w:tbl>
    <w:p w14:paraId="6134F998">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拆解中心的规划宜依据所在服务区域年总拆解产能需求来选择不同分档拆解中心类型及相应数量。拆解中心服务的对象宜与服务区域内主要农机装备种类合理设置。服务区域年总拆解产能宜参考区域内年农业机械保有量的4%～10%测算。</w:t>
      </w:r>
    </w:p>
    <w:p w14:paraId="7A88A151">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5.2.2安全要求</w:t>
      </w:r>
    </w:p>
    <w:p w14:paraId="045716FC">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拆解中心新建、扩建或者改建时，应按照《企业安全生产标准化 基本规范应按照》（GB/T 33000）要求，具备安全生产组织管理制度、职工安全生产培训制度、安全生产检查制度、消防演练和突发事件应急预案等。</w:t>
      </w:r>
    </w:p>
    <w:p w14:paraId="04C976B7">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应按照《安全标志及其使用导则》（GB 2894）要求在拆解场地内设置和使用安全标志。</w:t>
      </w:r>
    </w:p>
    <w:p w14:paraId="476CE61E">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应按照《职业健康监护技术规范》（GBZ 188）要求对接触有害化学因素、物理因素、粉尘等的作业人员进行监护。</w:t>
      </w:r>
    </w:p>
    <w:p w14:paraId="6FFACBEC">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5.2.3环保要求</w:t>
      </w:r>
    </w:p>
    <w:p w14:paraId="4F069B3D">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报废农业机械拆解时会产生噪声，拆解中心应通过使用低噪音等设备使得拆解区环境噪声限值符合GB 12348规定的三类声环境功能区的要求。</w:t>
      </w:r>
    </w:p>
    <w:p w14:paraId="396D1EA5">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拆解、运输等过程中可能会存在有害气体或易燃气体，拆解中心应具有导流和无害化处理的能力。</w:t>
      </w:r>
    </w:p>
    <w:p w14:paraId="60AD3C7C">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5.2.4场地要求</w:t>
      </w:r>
    </w:p>
    <w:p w14:paraId="7E1C8360">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应设置独立的拆解工作区域，同时应根据储存物类型设置不同的独立储存区，各功能区场地面积应与拆解能力相匹配，作业场地（包括拆解和储存场地）面积不低于拆解中心总面积的70%。不同拆解中心类型的最低经营面积见表1。</w:t>
      </w:r>
    </w:p>
    <w:p w14:paraId="324AF84F">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报废农业机械拆解后会产生一般工业固体废物和危险废物等，因此拆解中心应建有储存场地，一般工业固体废物储存场地应符合《一般工业固体废弃物贮存、处置场污染控制标准》（GB 18599）要求。危险废物的储存场地应符合《危险废弃物贮存污染控制标准》（GB 18597）要求。</w:t>
      </w:r>
    </w:p>
    <w:p w14:paraId="39C363FF">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电动农业机械具有电池，拆解电池时应具备专门拆解和储存场地，并且拆卸场地应做绝缘处理，保证人员安全。</w:t>
      </w:r>
    </w:p>
    <w:p w14:paraId="76570CB1">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5.2.5设备要求</w:t>
      </w:r>
    </w:p>
    <w:p w14:paraId="35DDF5DC">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拆解中心应按照《报废农业机械回收拆解技术规范》（NY/T 2900-2022）中4.4的要求配备完善的办公、拆解、运输等设备。</w:t>
      </w:r>
    </w:p>
    <w:p w14:paraId="1F434E3B">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5.2.6经营要求</w:t>
      </w:r>
    </w:p>
    <w:p w14:paraId="2CA42D40">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拆解中心</w:t>
      </w:r>
      <w:r>
        <w:rPr>
          <w:rFonts w:hint="default" w:ascii="仿宋" w:hAnsi="仿宋" w:eastAsia="仿宋" w:cs="仿宋"/>
          <w:color w:val="000000"/>
          <w:sz w:val="28"/>
          <w:szCs w:val="28"/>
          <w:lang w:val="en-US" w:eastAsia="zh-CN"/>
        </w:rPr>
        <w:t>应具有专业的技术人员，国家有持证上岗规定的岗位，应持证上岗。</w:t>
      </w:r>
    </w:p>
    <w:p w14:paraId="7BF48621">
      <w:pPr>
        <w:pageBreakBefore w:val="0"/>
        <w:kinsoku/>
        <w:wordWrap/>
        <w:overflowPunct/>
        <w:topLinePunct w:val="0"/>
        <w:autoSpaceDE/>
        <w:autoSpaceDN/>
        <w:bidi w:val="0"/>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报废农业机械回收拆解过程中应保证农业机械来源唯一性和合法性等，因此</w:t>
      </w:r>
      <w:r>
        <w:rPr>
          <w:rFonts w:hint="default" w:ascii="仿宋" w:hAnsi="仿宋" w:eastAsia="仿宋" w:cs="仿宋"/>
          <w:color w:val="000000"/>
          <w:sz w:val="28"/>
          <w:szCs w:val="28"/>
          <w:lang w:val="en-US" w:eastAsia="zh-CN"/>
        </w:rPr>
        <w:t>应记录的</w:t>
      </w:r>
      <w:r>
        <w:rPr>
          <w:rFonts w:hint="eastAsia" w:ascii="仿宋" w:hAnsi="仿宋" w:eastAsia="仿宋" w:cs="仿宋"/>
          <w:color w:val="000000"/>
          <w:sz w:val="28"/>
          <w:szCs w:val="28"/>
          <w:lang w:val="en-US" w:eastAsia="zh-CN"/>
        </w:rPr>
        <w:t>农业机械所有者和农业机械的信息，应建立电子和纸质档案记录回收拆解农业机械者和农业机械的信息，保存农业机械的铭牌，方便后期信息核实和流通信息追溯。</w:t>
      </w:r>
      <w:r>
        <w:rPr>
          <w:rFonts w:hint="default" w:ascii="仿宋" w:hAnsi="仿宋" w:eastAsia="仿宋" w:cs="仿宋"/>
          <w:color w:val="000000"/>
          <w:sz w:val="28"/>
          <w:szCs w:val="28"/>
          <w:lang w:val="en-US" w:eastAsia="zh-CN"/>
        </w:rPr>
        <w:t>纸质档案和铭牌档案保存期限应不少于3年，电子档案保存期限应不少于5年。</w:t>
      </w:r>
    </w:p>
    <w:p w14:paraId="4EF94BDD">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default" w:ascii="仿宋" w:hAnsi="仿宋" w:eastAsia="仿宋" w:cs="仿宋"/>
          <w:color w:val="000000"/>
          <w:sz w:val="28"/>
          <w:szCs w:val="28"/>
          <w:lang w:val="en-US" w:eastAsia="zh-CN"/>
        </w:rPr>
        <w:t>宜根据生产企业提供的产品说明书、产品图册编制拆解作业流程图，拆解作业流程图应注明拆解流程、拆解方法、所需设备或工具；对于复杂产品或部件，宜编制拆解作业指导书。</w:t>
      </w:r>
    </w:p>
    <w:p w14:paraId="6B215E2D">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从报废农业机械拆解的</w:t>
      </w:r>
      <w:r>
        <w:rPr>
          <w:rFonts w:hint="default" w:ascii="仿宋" w:hAnsi="仿宋" w:eastAsia="仿宋" w:cs="仿宋"/>
          <w:color w:val="000000"/>
          <w:sz w:val="28"/>
          <w:szCs w:val="28"/>
          <w:lang w:val="en-US" w:eastAsia="zh-CN"/>
        </w:rPr>
        <w:t>具有再利用或再制造价值的零部件可交给具有相应资质的企业</w:t>
      </w:r>
      <w:r>
        <w:rPr>
          <w:rFonts w:hint="eastAsia" w:ascii="仿宋" w:hAnsi="仿宋" w:eastAsia="仿宋" w:cs="仿宋"/>
          <w:color w:val="000000"/>
          <w:sz w:val="28"/>
          <w:szCs w:val="28"/>
          <w:lang w:val="en-US" w:eastAsia="zh-CN"/>
        </w:rPr>
        <w:t>，由有资质的企业对其进行处理处置</w:t>
      </w:r>
      <w:r>
        <w:rPr>
          <w:rFonts w:hint="default" w:ascii="仿宋" w:hAnsi="仿宋" w:eastAsia="仿宋" w:cs="仿宋"/>
          <w:color w:val="000000"/>
          <w:sz w:val="28"/>
          <w:szCs w:val="28"/>
          <w:lang w:val="en-US" w:eastAsia="zh-CN"/>
        </w:rPr>
        <w:t>。废金属、废塑料、废橡胶等可再利用的固体废弃物可</w:t>
      </w:r>
      <w:r>
        <w:rPr>
          <w:rFonts w:hint="eastAsia" w:ascii="仿宋" w:hAnsi="仿宋" w:eastAsia="仿宋" w:cs="仿宋"/>
          <w:color w:val="000000"/>
          <w:sz w:val="28"/>
          <w:szCs w:val="28"/>
          <w:lang w:val="en-US" w:eastAsia="zh-CN"/>
        </w:rPr>
        <w:t>进入再生资源回收利用体系，</w:t>
      </w:r>
      <w:r>
        <w:rPr>
          <w:rFonts w:hint="default" w:ascii="仿宋" w:hAnsi="仿宋" w:eastAsia="仿宋" w:cs="仿宋"/>
          <w:color w:val="000000"/>
          <w:sz w:val="28"/>
          <w:szCs w:val="28"/>
          <w:lang w:val="en-US" w:eastAsia="zh-CN"/>
        </w:rPr>
        <w:t>交给再生资源回收利用企业</w:t>
      </w:r>
      <w:r>
        <w:rPr>
          <w:rFonts w:hint="eastAsia" w:ascii="仿宋" w:hAnsi="仿宋" w:eastAsia="仿宋" w:cs="仿宋"/>
          <w:color w:val="000000"/>
          <w:sz w:val="28"/>
          <w:szCs w:val="28"/>
          <w:lang w:val="en-US" w:eastAsia="zh-CN"/>
        </w:rPr>
        <w:t>进行加工再利用</w:t>
      </w:r>
      <w:r>
        <w:rPr>
          <w:rFonts w:hint="default" w:ascii="仿宋" w:hAnsi="仿宋" w:eastAsia="仿宋" w:cs="仿宋"/>
          <w:color w:val="000000"/>
          <w:sz w:val="28"/>
          <w:szCs w:val="28"/>
          <w:lang w:val="en-US" w:eastAsia="zh-CN"/>
        </w:rPr>
        <w:t>。不可再利用的固体废弃物、废液、危险废物应交给具有相应资质的处理处置企业</w:t>
      </w:r>
      <w:r>
        <w:rPr>
          <w:rFonts w:hint="eastAsia" w:ascii="仿宋" w:hAnsi="仿宋" w:eastAsia="仿宋" w:cs="仿宋"/>
          <w:color w:val="000000"/>
          <w:sz w:val="28"/>
          <w:szCs w:val="28"/>
          <w:lang w:val="en-US" w:eastAsia="zh-CN"/>
        </w:rPr>
        <w:t>，不得独自进行处理处置</w:t>
      </w:r>
      <w:r>
        <w:rPr>
          <w:rFonts w:hint="default" w:ascii="仿宋" w:hAnsi="仿宋" w:eastAsia="仿宋" w:cs="仿宋"/>
          <w:color w:val="000000"/>
          <w:sz w:val="28"/>
          <w:szCs w:val="28"/>
          <w:lang w:val="en-US" w:eastAsia="zh-CN"/>
        </w:rPr>
        <w:t>。</w:t>
      </w:r>
    </w:p>
    <w:p w14:paraId="3EE5CD2E">
      <w:pPr>
        <w:pageBreakBefore w:val="0"/>
        <w:kinsoku/>
        <w:wordWrap/>
        <w:overflowPunct/>
        <w:topLinePunct w:val="0"/>
        <w:autoSpaceDE/>
        <w:autoSpaceDN/>
        <w:bidi w:val="0"/>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在回收、拆解及后处理过程中，</w:t>
      </w:r>
      <w:r>
        <w:rPr>
          <w:rFonts w:hint="default" w:ascii="仿宋" w:hAnsi="仿宋" w:eastAsia="仿宋" w:cs="仿宋"/>
          <w:color w:val="000000"/>
          <w:sz w:val="28"/>
          <w:szCs w:val="28"/>
          <w:lang w:val="en-US" w:eastAsia="zh-CN"/>
        </w:rPr>
        <w:t>应记录回收、拆解、废弃物处理及拆解后零部件、材料和废弃物的数量/重量和流向等，进行标识，处理批次和拆解数量与接收重量应</w:t>
      </w:r>
      <w:r>
        <w:rPr>
          <w:rFonts w:hint="eastAsia" w:ascii="仿宋" w:hAnsi="仿宋" w:eastAsia="仿宋" w:cs="仿宋"/>
          <w:color w:val="000000"/>
          <w:sz w:val="28"/>
          <w:szCs w:val="28"/>
          <w:lang w:val="en-US" w:eastAsia="zh-CN"/>
        </w:rPr>
        <w:t>匹配</w:t>
      </w:r>
      <w:r>
        <w:rPr>
          <w:rFonts w:hint="default" w:ascii="仿宋" w:hAnsi="仿宋" w:eastAsia="仿宋" w:cs="仿宋"/>
          <w:color w:val="000000"/>
          <w:sz w:val="28"/>
          <w:szCs w:val="28"/>
          <w:lang w:val="en-US" w:eastAsia="zh-CN"/>
        </w:rPr>
        <w:t>。</w:t>
      </w:r>
    </w:p>
    <w:p w14:paraId="04835300">
      <w:pPr>
        <w:pStyle w:val="39"/>
        <w:pageBreakBefore w:val="0"/>
        <w:kinsoku/>
        <w:wordWrap/>
        <w:overflowPunct/>
        <w:topLinePunct w:val="0"/>
        <w:autoSpaceDE/>
        <w:autoSpaceDN/>
        <w:bidi w:val="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5.3信息化管理平台</w:t>
      </w:r>
    </w:p>
    <w:p w14:paraId="0D1ABF14">
      <w:pPr>
        <w:pageBreakBefore w:val="0"/>
        <w:kinsoku/>
        <w:wordWrap/>
        <w:overflowPunct/>
        <w:topLinePunct w:val="0"/>
        <w:autoSpaceDE/>
        <w:autoSpaceDN/>
        <w:bidi w:val="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本部分针对信息化管理平台的建设，提出了建设要求、平台功能和安全性要求。</w:t>
      </w:r>
    </w:p>
    <w:p w14:paraId="36F3A803">
      <w:pPr>
        <w:pageBreakBefore w:val="0"/>
        <w:kinsoku/>
        <w:wordWrap/>
        <w:overflowPunct/>
        <w:topLinePunct w:val="0"/>
        <w:autoSpaceDE/>
        <w:autoSpaceDN/>
        <w:bidi w:val="0"/>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000000"/>
          <w:sz w:val="28"/>
          <w:szCs w:val="28"/>
          <w:lang w:val="en-US" w:eastAsia="zh-CN"/>
        </w:rPr>
        <w:t>本标准参考《</w:t>
      </w:r>
      <w:r>
        <w:rPr>
          <w:rFonts w:hint="default" w:ascii="仿宋" w:hAnsi="仿宋" w:eastAsia="仿宋" w:cs="仿宋"/>
          <w:color w:val="auto"/>
          <w:sz w:val="28"/>
          <w:szCs w:val="28"/>
          <w:lang w:val="en-US" w:eastAsia="zh-CN"/>
        </w:rPr>
        <w:t>绿色制造</w:t>
      </w:r>
      <w:r>
        <w:rPr>
          <w:rFonts w:hint="eastAsia" w:ascii="仿宋" w:hAnsi="仿宋" w:eastAsia="仿宋" w:cs="仿宋"/>
          <w:color w:val="auto"/>
          <w:sz w:val="28"/>
          <w:szCs w:val="28"/>
          <w:lang w:val="en-US" w:eastAsia="zh-CN"/>
        </w:rPr>
        <w:t xml:space="preserve"> </w:t>
      </w:r>
      <w:r>
        <w:rPr>
          <w:rFonts w:hint="default" w:ascii="仿宋" w:hAnsi="仿宋" w:eastAsia="仿宋" w:cs="仿宋"/>
          <w:color w:val="auto"/>
          <w:sz w:val="28"/>
          <w:szCs w:val="28"/>
          <w:lang w:val="en-US" w:eastAsia="zh-CN"/>
        </w:rPr>
        <w:t>制造企业绿色供应链管理</w:t>
      </w:r>
      <w:r>
        <w:rPr>
          <w:rFonts w:hint="eastAsia" w:ascii="仿宋" w:hAnsi="仿宋" w:eastAsia="仿宋" w:cs="仿宋"/>
          <w:color w:val="auto"/>
          <w:sz w:val="28"/>
          <w:szCs w:val="28"/>
          <w:lang w:val="en-US" w:eastAsia="zh-CN"/>
        </w:rPr>
        <w:t xml:space="preserve"> </w:t>
      </w:r>
      <w:r>
        <w:rPr>
          <w:rFonts w:hint="default" w:ascii="仿宋" w:hAnsi="仿宋" w:eastAsia="仿宋" w:cs="仿宋"/>
          <w:color w:val="auto"/>
          <w:sz w:val="28"/>
          <w:szCs w:val="28"/>
          <w:lang w:val="en-US" w:eastAsia="zh-CN"/>
        </w:rPr>
        <w:t>信息化管理平台规范</w:t>
      </w:r>
      <w:r>
        <w:rPr>
          <w:rFonts w:hint="eastAsia" w:ascii="仿宋" w:hAnsi="仿宋" w:eastAsia="仿宋" w:cs="仿宋"/>
          <w:color w:val="000000"/>
          <w:sz w:val="28"/>
          <w:szCs w:val="28"/>
          <w:lang w:val="en-US" w:eastAsia="zh-CN"/>
        </w:rPr>
        <w:t>》（GB/T 39256-2020）对信息化管理平台的建设提出要求。</w:t>
      </w:r>
    </w:p>
    <w:p w14:paraId="0F402B86">
      <w:pPr>
        <w:pStyle w:val="2"/>
        <w:numPr>
          <w:ilvl w:val="0"/>
          <w:numId w:val="0"/>
        </w:numPr>
        <w:tabs>
          <w:tab w:val="left" w:pos="420"/>
        </w:tabs>
        <w:spacing w:line="360" w:lineRule="auto"/>
        <w:rPr>
          <w:rFonts w:hint="eastAsia" w:ascii="仿宋" w:hAnsi="仿宋" w:eastAsia="仿宋"/>
          <w:b/>
          <w:szCs w:val="28"/>
        </w:rPr>
      </w:pPr>
      <w:bookmarkStart w:id="18" w:name="_Toc178431676"/>
      <w:bookmarkStart w:id="19" w:name="_Toc8656"/>
      <w:bookmarkStart w:id="20" w:name="_Toc180975017"/>
      <w:r>
        <w:rPr>
          <w:rFonts w:hint="eastAsia" w:ascii="仿宋" w:hAnsi="仿宋" w:eastAsia="仿宋"/>
          <w:b/>
          <w:szCs w:val="28"/>
        </w:rPr>
        <w:t>三、试验验证的分析、综述报告、技术经济论证，预期的经济</w:t>
      </w:r>
      <w:bookmarkEnd w:id="18"/>
      <w:r>
        <w:rPr>
          <w:rFonts w:hint="eastAsia" w:ascii="仿宋" w:hAnsi="仿宋" w:eastAsia="仿宋"/>
          <w:b/>
          <w:szCs w:val="28"/>
        </w:rPr>
        <w:t>效益、社会效益和生态效益</w:t>
      </w:r>
      <w:bookmarkEnd w:id="19"/>
      <w:bookmarkEnd w:id="20"/>
    </w:p>
    <w:p w14:paraId="26921C7B">
      <w:pPr>
        <w:pStyle w:val="3"/>
        <w:rPr>
          <w:rFonts w:hint="eastAsia" w:eastAsia="仿宋"/>
          <w:lang w:eastAsia="zh-CN"/>
        </w:rPr>
      </w:pPr>
      <w:r>
        <w:rPr>
          <w:rFonts w:hint="eastAsia" w:ascii="仿宋" w:hAnsi="仿宋" w:eastAsia="仿宋"/>
          <w:color w:val="000000"/>
          <w:sz w:val="28"/>
          <w:szCs w:val="28"/>
        </w:rPr>
        <w:t>本标准的制定和实施可减少因废旧农机</w:t>
      </w:r>
      <w:r>
        <w:rPr>
          <w:rFonts w:hint="eastAsia" w:ascii="仿宋" w:hAnsi="仿宋" w:eastAsia="仿宋"/>
          <w:color w:val="000000"/>
          <w:sz w:val="28"/>
          <w:szCs w:val="28"/>
          <w:lang w:val="en-US" w:eastAsia="zh-CN"/>
        </w:rPr>
        <w:t>不合理处理导致长期</w:t>
      </w:r>
      <w:r>
        <w:rPr>
          <w:rFonts w:hint="eastAsia" w:ascii="仿宋" w:hAnsi="仿宋" w:eastAsia="仿宋"/>
          <w:color w:val="000000"/>
          <w:sz w:val="28"/>
          <w:szCs w:val="28"/>
        </w:rPr>
        <w:t>堆放而造成的资源浪费</w:t>
      </w:r>
      <w:r>
        <w:rPr>
          <w:rFonts w:hint="eastAsia" w:ascii="仿宋" w:hAnsi="仿宋" w:eastAsia="仿宋"/>
          <w:color w:val="000000"/>
          <w:sz w:val="28"/>
          <w:szCs w:val="28"/>
          <w:lang w:val="en-US" w:eastAsia="zh-CN"/>
        </w:rPr>
        <w:t>和环境污染</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本标准的制定和实施能够规范回收流程，明确相关主体职能和资质，丰富回收渠道，有助于提高农民报废农业机械的积极性，也</w:t>
      </w:r>
      <w:r>
        <w:rPr>
          <w:rFonts w:hint="eastAsia" w:ascii="仿宋" w:hAnsi="仿宋" w:eastAsia="仿宋"/>
          <w:color w:val="000000"/>
          <w:sz w:val="28"/>
          <w:szCs w:val="28"/>
        </w:rPr>
        <w:t>有助于提高回收拆解企业经济效益</w:t>
      </w:r>
      <w:r>
        <w:rPr>
          <w:rFonts w:hint="eastAsia" w:ascii="仿宋" w:hAnsi="仿宋" w:eastAsia="仿宋"/>
          <w:color w:val="000000"/>
          <w:sz w:val="28"/>
          <w:szCs w:val="28"/>
          <w:lang w:eastAsia="zh-CN"/>
        </w:rPr>
        <w:t>。</w:t>
      </w:r>
    </w:p>
    <w:p w14:paraId="5380AB94">
      <w:pPr>
        <w:pStyle w:val="2"/>
        <w:numPr>
          <w:ilvl w:val="0"/>
          <w:numId w:val="0"/>
        </w:numPr>
        <w:spacing w:line="360" w:lineRule="auto"/>
        <w:rPr>
          <w:rFonts w:hint="eastAsia" w:ascii="仿宋" w:hAnsi="仿宋" w:eastAsia="仿宋"/>
          <w:b/>
          <w:szCs w:val="28"/>
        </w:rPr>
      </w:pPr>
      <w:bookmarkStart w:id="21" w:name="_Toc178431677"/>
      <w:bookmarkStart w:id="22" w:name="_Toc8349"/>
      <w:bookmarkStart w:id="23" w:name="_Toc180975018"/>
      <w:bookmarkStart w:id="24" w:name="_Toc4753"/>
      <w:r>
        <w:rPr>
          <w:rFonts w:hint="eastAsia" w:ascii="仿宋" w:hAnsi="仿宋" w:eastAsia="仿宋"/>
          <w:b/>
          <w:szCs w:val="28"/>
        </w:rPr>
        <w:t>四、</w:t>
      </w:r>
      <w:bookmarkEnd w:id="21"/>
      <w:r>
        <w:rPr>
          <w:rFonts w:hint="eastAsia" w:ascii="仿宋" w:hAnsi="仿宋" w:eastAsia="仿宋"/>
          <w:b/>
          <w:szCs w:val="28"/>
        </w:rPr>
        <w:t>与国际、国外同类标准技术内容的对比情况</w:t>
      </w:r>
      <w:bookmarkEnd w:id="22"/>
      <w:bookmarkEnd w:id="23"/>
    </w:p>
    <w:p w14:paraId="25B11834">
      <w:pPr>
        <w:pStyle w:val="3"/>
        <w:ind w:firstLine="560"/>
        <w:rPr>
          <w:rFonts w:hint="eastAsia" w:ascii="仿宋" w:hAnsi="仿宋" w:eastAsia="仿宋"/>
          <w:color w:val="000000"/>
          <w:sz w:val="28"/>
          <w:szCs w:val="28"/>
        </w:rPr>
      </w:pPr>
      <w:r>
        <w:rPr>
          <w:rFonts w:hint="eastAsia" w:ascii="仿宋" w:hAnsi="仿宋" w:eastAsia="仿宋"/>
          <w:color w:val="000000"/>
          <w:sz w:val="28"/>
          <w:szCs w:val="28"/>
        </w:rPr>
        <w:t>经检索，无</w:t>
      </w:r>
      <w:r>
        <w:rPr>
          <w:rFonts w:hint="eastAsia" w:ascii="仿宋" w:hAnsi="仿宋" w:eastAsia="仿宋"/>
          <w:color w:val="000000"/>
          <w:sz w:val="28"/>
          <w:szCs w:val="28"/>
          <w:lang w:val="en-US" w:eastAsia="zh-CN"/>
        </w:rPr>
        <w:t>废旧农业机械回收体系</w:t>
      </w:r>
      <w:r>
        <w:rPr>
          <w:rFonts w:hint="eastAsia" w:ascii="仿宋" w:hAnsi="仿宋" w:eastAsia="仿宋"/>
          <w:color w:val="000000"/>
          <w:sz w:val="28"/>
          <w:szCs w:val="28"/>
        </w:rPr>
        <w:t>建设相关的国外标准。</w:t>
      </w:r>
    </w:p>
    <w:bookmarkEnd w:id="24"/>
    <w:p w14:paraId="028F2804">
      <w:pPr>
        <w:pStyle w:val="2"/>
        <w:numPr>
          <w:ilvl w:val="0"/>
          <w:numId w:val="0"/>
        </w:numPr>
        <w:spacing w:line="360" w:lineRule="auto"/>
        <w:rPr>
          <w:rFonts w:hint="eastAsia" w:ascii="仿宋" w:hAnsi="仿宋" w:eastAsia="仿宋"/>
          <w:b/>
          <w:szCs w:val="28"/>
        </w:rPr>
      </w:pPr>
      <w:bookmarkStart w:id="25" w:name="_Toc180975019"/>
      <w:bookmarkStart w:id="26" w:name="_Toc12536"/>
      <w:bookmarkStart w:id="27" w:name="_Toc25907"/>
      <w:r>
        <w:rPr>
          <w:rFonts w:hint="eastAsia" w:ascii="仿宋" w:hAnsi="仿宋" w:eastAsia="仿宋"/>
          <w:b/>
          <w:szCs w:val="28"/>
          <w:lang w:val="en-US" w:eastAsia="zh-CN"/>
        </w:rPr>
        <w:t>五、</w:t>
      </w:r>
      <w:r>
        <w:rPr>
          <w:rFonts w:hint="eastAsia" w:ascii="仿宋" w:hAnsi="仿宋" w:eastAsia="仿宋"/>
          <w:b/>
          <w:szCs w:val="28"/>
        </w:rPr>
        <w:t>以国际标准为基础的起草情况，以及是否合规引用或者采用国际国外标准，并说明未采用国际标准的原因</w:t>
      </w:r>
      <w:bookmarkEnd w:id="25"/>
      <w:bookmarkEnd w:id="26"/>
    </w:p>
    <w:p w14:paraId="04EC70EA">
      <w:pPr>
        <w:pStyle w:val="3"/>
        <w:ind w:firstLine="560"/>
        <w:rPr>
          <w:rFonts w:hint="eastAsia" w:ascii="仿宋" w:hAnsi="仿宋" w:eastAsia="仿宋"/>
          <w:color w:val="000000"/>
          <w:sz w:val="28"/>
          <w:szCs w:val="28"/>
        </w:rPr>
      </w:pPr>
      <w:r>
        <w:rPr>
          <w:rFonts w:hint="eastAsia" w:ascii="仿宋" w:hAnsi="仿宋" w:eastAsia="仿宋"/>
          <w:color w:val="000000"/>
          <w:sz w:val="28"/>
          <w:szCs w:val="28"/>
        </w:rPr>
        <w:t>本标准为首次自主制定，未引用或者采用国际国外标准。</w:t>
      </w:r>
    </w:p>
    <w:bookmarkEnd w:id="13"/>
    <w:bookmarkEnd w:id="14"/>
    <w:bookmarkEnd w:id="15"/>
    <w:bookmarkEnd w:id="16"/>
    <w:bookmarkEnd w:id="17"/>
    <w:bookmarkEnd w:id="27"/>
    <w:p w14:paraId="395C1C79">
      <w:pPr>
        <w:pStyle w:val="2"/>
        <w:numPr>
          <w:ilvl w:val="0"/>
          <w:numId w:val="0"/>
        </w:numPr>
        <w:tabs>
          <w:tab w:val="left" w:pos="420"/>
        </w:tabs>
        <w:spacing w:line="360" w:lineRule="auto"/>
        <w:rPr>
          <w:rFonts w:hint="eastAsia" w:ascii="仿宋" w:hAnsi="仿宋" w:eastAsia="仿宋"/>
          <w:b/>
          <w:bCs w:val="0"/>
          <w:szCs w:val="28"/>
        </w:rPr>
      </w:pPr>
      <w:bookmarkStart w:id="28" w:name="_Toc178431679"/>
      <w:bookmarkStart w:id="29" w:name="_Toc27667"/>
      <w:bookmarkStart w:id="30" w:name="_Toc180975020"/>
      <w:bookmarkStart w:id="31" w:name="_Toc447874522"/>
      <w:bookmarkStart w:id="32" w:name="_Toc482017030"/>
      <w:r>
        <w:rPr>
          <w:rFonts w:hint="eastAsia" w:ascii="仿宋" w:hAnsi="仿宋" w:eastAsia="仿宋"/>
          <w:b/>
          <w:szCs w:val="28"/>
        </w:rPr>
        <w:t>六、</w:t>
      </w:r>
      <w:bookmarkEnd w:id="28"/>
      <w:r>
        <w:rPr>
          <w:rFonts w:hint="eastAsia" w:ascii="仿宋" w:hAnsi="仿宋" w:eastAsia="仿宋"/>
          <w:b/>
          <w:bCs w:val="0"/>
          <w:szCs w:val="28"/>
        </w:rPr>
        <w:t>与有关法律、行政法规及相关标准的关系</w:t>
      </w:r>
      <w:bookmarkEnd w:id="29"/>
      <w:bookmarkEnd w:id="30"/>
    </w:p>
    <w:p w14:paraId="1F82CBFA">
      <w:pPr>
        <w:pageBreakBefore w:val="0"/>
        <w:kinsoku/>
        <w:wordWrap/>
        <w:overflowPunct/>
        <w:topLinePunct w:val="0"/>
        <w:autoSpaceDE/>
        <w:autoSpaceDN/>
        <w:bidi w:val="0"/>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本标准符合现行法律法规的要求，与现行相关</w:t>
      </w:r>
      <w:r>
        <w:rPr>
          <w:rFonts w:hint="eastAsia" w:ascii="仿宋" w:hAnsi="仿宋" w:eastAsia="仿宋"/>
          <w:color w:val="000000"/>
          <w:sz w:val="28"/>
          <w:szCs w:val="28"/>
          <w:lang w:eastAsia="zh-CN"/>
        </w:rPr>
        <w:t>法律法规</w:t>
      </w:r>
      <w:r>
        <w:rPr>
          <w:rFonts w:hint="eastAsia" w:ascii="仿宋" w:hAnsi="仿宋" w:eastAsia="仿宋"/>
          <w:color w:val="000000"/>
          <w:sz w:val="28"/>
          <w:szCs w:val="28"/>
        </w:rPr>
        <w:t>及相关强制性国家标准是协调一致的。</w:t>
      </w:r>
    </w:p>
    <w:p w14:paraId="7B69A859">
      <w:pPr>
        <w:pStyle w:val="2"/>
        <w:numPr>
          <w:ilvl w:val="0"/>
          <w:numId w:val="0"/>
        </w:numPr>
        <w:tabs>
          <w:tab w:val="left" w:pos="420"/>
        </w:tabs>
        <w:spacing w:line="360" w:lineRule="auto"/>
        <w:rPr>
          <w:rFonts w:hint="eastAsia" w:ascii="仿宋" w:hAnsi="仿宋" w:eastAsia="仿宋"/>
          <w:b/>
          <w:bCs w:val="0"/>
          <w:szCs w:val="28"/>
        </w:rPr>
      </w:pPr>
      <w:bookmarkStart w:id="33" w:name="_Toc133052569"/>
      <w:bookmarkStart w:id="34" w:name="_Toc133102672"/>
      <w:bookmarkStart w:id="35" w:name="_Toc133102723"/>
      <w:bookmarkStart w:id="36" w:name="_Toc178431680"/>
      <w:bookmarkStart w:id="37" w:name="_Toc180975021"/>
      <w:bookmarkStart w:id="38" w:name="_Toc32497"/>
      <w:bookmarkStart w:id="39" w:name="_Toc8177"/>
      <w:r>
        <w:rPr>
          <w:rFonts w:hint="eastAsia" w:ascii="仿宋" w:hAnsi="仿宋" w:eastAsia="仿宋"/>
          <w:b/>
          <w:bCs w:val="0"/>
          <w:szCs w:val="28"/>
        </w:rPr>
        <w:t>七</w:t>
      </w:r>
      <w:r>
        <w:rPr>
          <w:rFonts w:ascii="仿宋" w:hAnsi="仿宋" w:eastAsia="仿宋"/>
          <w:b/>
          <w:bCs w:val="0"/>
          <w:szCs w:val="28"/>
        </w:rPr>
        <w:t>、重大分歧意见的处理经过和依据</w:t>
      </w:r>
      <w:bookmarkEnd w:id="33"/>
      <w:bookmarkEnd w:id="34"/>
      <w:bookmarkEnd w:id="35"/>
      <w:bookmarkEnd w:id="36"/>
      <w:bookmarkEnd w:id="37"/>
      <w:bookmarkEnd w:id="38"/>
    </w:p>
    <w:p w14:paraId="73FA53E7">
      <w:pPr>
        <w:spacing w:line="360" w:lineRule="auto"/>
        <w:ind w:firstLine="480"/>
        <w:rPr>
          <w:rFonts w:hint="eastAsia" w:ascii="仿宋" w:hAnsi="仿宋" w:eastAsia="仿宋"/>
          <w:color w:val="000000"/>
          <w:sz w:val="28"/>
          <w:szCs w:val="28"/>
        </w:rPr>
      </w:pPr>
      <w:r>
        <w:rPr>
          <w:rFonts w:hint="eastAsia" w:ascii="仿宋" w:hAnsi="仿宋" w:eastAsia="仿宋"/>
          <w:color w:val="000000"/>
          <w:sz w:val="28"/>
          <w:szCs w:val="28"/>
        </w:rPr>
        <w:t>本标准在起草过程中无重大分歧意见。</w:t>
      </w:r>
    </w:p>
    <w:bookmarkEnd w:id="39"/>
    <w:p w14:paraId="30FDBB17">
      <w:pPr>
        <w:pStyle w:val="2"/>
        <w:numPr>
          <w:ilvl w:val="0"/>
          <w:numId w:val="0"/>
        </w:numPr>
        <w:tabs>
          <w:tab w:val="left" w:pos="420"/>
        </w:tabs>
        <w:spacing w:line="360" w:lineRule="auto"/>
        <w:ind w:left="425" w:hanging="425"/>
        <w:rPr>
          <w:rFonts w:hint="eastAsia" w:ascii="仿宋" w:hAnsi="仿宋" w:eastAsia="仿宋"/>
          <w:b/>
          <w:bCs w:val="0"/>
          <w:szCs w:val="28"/>
        </w:rPr>
      </w:pPr>
      <w:bookmarkStart w:id="40" w:name="_Toc180975022"/>
      <w:bookmarkStart w:id="41" w:name="_Toc8116"/>
      <w:bookmarkStart w:id="42" w:name="_Toc133102724"/>
      <w:bookmarkStart w:id="43" w:name="_Toc133052570"/>
      <w:bookmarkStart w:id="44" w:name="_Toc133102673"/>
      <w:bookmarkStart w:id="45" w:name="_Toc27750"/>
      <w:r>
        <w:rPr>
          <w:rFonts w:hint="eastAsia" w:ascii="仿宋" w:hAnsi="仿宋" w:eastAsia="仿宋"/>
          <w:b/>
          <w:bCs w:val="0"/>
          <w:szCs w:val="28"/>
        </w:rPr>
        <w:t>八、涉及专利的有关说明</w:t>
      </w:r>
      <w:bookmarkEnd w:id="40"/>
      <w:bookmarkEnd w:id="41"/>
    </w:p>
    <w:p w14:paraId="0E84A8FE">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本文件在制定过程中不涉及专利等相关问题。</w:t>
      </w:r>
    </w:p>
    <w:bookmarkEnd w:id="42"/>
    <w:bookmarkEnd w:id="43"/>
    <w:bookmarkEnd w:id="44"/>
    <w:bookmarkEnd w:id="45"/>
    <w:p w14:paraId="767D4785">
      <w:pPr>
        <w:pStyle w:val="2"/>
        <w:numPr>
          <w:ilvl w:val="0"/>
          <w:numId w:val="0"/>
        </w:numPr>
        <w:tabs>
          <w:tab w:val="left" w:pos="420"/>
        </w:tabs>
        <w:spacing w:line="360" w:lineRule="auto"/>
        <w:rPr>
          <w:rFonts w:hint="eastAsia" w:ascii="仿宋" w:hAnsi="仿宋" w:eastAsia="仿宋"/>
          <w:b/>
          <w:bCs w:val="0"/>
          <w:szCs w:val="28"/>
        </w:rPr>
      </w:pPr>
      <w:bookmarkStart w:id="46" w:name="_Toc32642"/>
      <w:bookmarkStart w:id="47" w:name="_Toc180975023"/>
      <w:r>
        <w:rPr>
          <w:rFonts w:hint="eastAsia" w:ascii="仿宋" w:hAnsi="仿宋" w:eastAsia="仿宋"/>
          <w:b/>
          <w:bCs w:val="0"/>
          <w:szCs w:val="28"/>
        </w:rPr>
        <w:t>九、实施国家标准的要求，以及组织措施、技术措施、过渡期和实施日期的建议等措施建议</w:t>
      </w:r>
      <w:bookmarkEnd w:id="46"/>
      <w:bookmarkEnd w:id="47"/>
    </w:p>
    <w:p w14:paraId="0F7298FC">
      <w:pPr>
        <w:pageBreakBefore w:val="0"/>
        <w:kinsoku/>
        <w:wordWrap/>
        <w:overflowPunct/>
        <w:topLinePunct w:val="0"/>
        <w:autoSpaceDE/>
        <w:autoSpaceDN/>
        <w:bidi w:val="0"/>
        <w:spacing w:line="360" w:lineRule="auto"/>
        <w:ind w:firstLine="560" w:firstLineChars="200"/>
        <w:rPr>
          <w:rFonts w:hint="eastAsia" w:ascii="仿宋" w:hAnsi="仿宋" w:eastAsia="仿宋"/>
          <w:color w:val="000000"/>
          <w:sz w:val="28"/>
          <w:szCs w:val="28"/>
          <w:lang w:eastAsia="zh-CN"/>
        </w:rPr>
      </w:pPr>
      <w:r>
        <w:rPr>
          <w:rFonts w:ascii="仿宋" w:hAnsi="仿宋" w:eastAsia="仿宋"/>
          <w:color w:val="000000"/>
          <w:sz w:val="28"/>
          <w:szCs w:val="28"/>
        </w:rPr>
        <w:t>建议作为</w:t>
      </w:r>
      <w:r>
        <w:rPr>
          <w:rFonts w:hint="eastAsia" w:ascii="仿宋" w:hAnsi="仿宋" w:eastAsia="仿宋"/>
          <w:color w:val="000000"/>
          <w:sz w:val="28"/>
          <w:szCs w:val="28"/>
        </w:rPr>
        <w:t>国家</w:t>
      </w:r>
      <w:r>
        <w:rPr>
          <w:rFonts w:ascii="仿宋" w:hAnsi="仿宋" w:eastAsia="仿宋"/>
          <w:color w:val="000000"/>
          <w:sz w:val="28"/>
          <w:szCs w:val="28"/>
        </w:rPr>
        <w:t>推荐性标准发布、实施</w:t>
      </w:r>
      <w:r>
        <w:rPr>
          <w:rFonts w:hint="eastAsia" w:ascii="仿宋" w:hAnsi="仿宋" w:eastAsia="仿宋"/>
          <w:color w:val="000000"/>
          <w:sz w:val="28"/>
          <w:szCs w:val="28"/>
          <w:lang w:eastAsia="zh-CN"/>
        </w:rPr>
        <w:t>。</w:t>
      </w:r>
    </w:p>
    <w:bookmarkEnd w:id="31"/>
    <w:bookmarkEnd w:id="32"/>
    <w:p w14:paraId="00B60569">
      <w:pPr>
        <w:pStyle w:val="2"/>
        <w:numPr>
          <w:ilvl w:val="0"/>
          <w:numId w:val="0"/>
        </w:numPr>
        <w:tabs>
          <w:tab w:val="left" w:pos="420"/>
        </w:tabs>
        <w:spacing w:line="360" w:lineRule="auto"/>
        <w:rPr>
          <w:rFonts w:hint="eastAsia" w:ascii="仿宋" w:hAnsi="仿宋" w:eastAsia="仿宋"/>
          <w:b/>
          <w:bCs w:val="0"/>
          <w:szCs w:val="28"/>
        </w:rPr>
      </w:pPr>
      <w:bookmarkStart w:id="48" w:name="_Toc178431683"/>
      <w:bookmarkStart w:id="49" w:name="_Toc28485"/>
      <w:bookmarkStart w:id="50" w:name="_Toc180975024"/>
      <w:bookmarkStart w:id="51" w:name="_Toc133052573"/>
      <w:bookmarkStart w:id="52" w:name="_Toc31844"/>
      <w:bookmarkStart w:id="53" w:name="_Toc133102727"/>
      <w:bookmarkStart w:id="54" w:name="_Toc133102676"/>
      <w:r>
        <w:rPr>
          <w:rFonts w:ascii="仿宋" w:hAnsi="仿宋" w:eastAsia="仿宋"/>
          <w:b/>
          <w:bCs w:val="0"/>
          <w:szCs w:val="28"/>
        </w:rPr>
        <w:t>十、</w:t>
      </w:r>
      <w:bookmarkEnd w:id="48"/>
      <w:r>
        <w:rPr>
          <w:rFonts w:hint="eastAsia" w:ascii="仿宋" w:hAnsi="仿宋" w:eastAsia="仿宋"/>
          <w:b/>
          <w:bCs w:val="0"/>
          <w:szCs w:val="28"/>
        </w:rPr>
        <w:t>其他应当说明的事项</w:t>
      </w:r>
      <w:bookmarkEnd w:id="49"/>
      <w:bookmarkEnd w:id="50"/>
    </w:p>
    <w:p w14:paraId="682A7F8A">
      <w:pPr>
        <w:spacing w:line="360" w:lineRule="auto"/>
        <w:ind w:firstLine="480"/>
        <w:rPr>
          <w:rFonts w:hint="eastAsia" w:ascii="仿宋" w:hAnsi="仿宋" w:eastAsia="仿宋"/>
          <w:sz w:val="28"/>
          <w:szCs w:val="28"/>
        </w:rPr>
      </w:pPr>
      <w:r>
        <w:rPr>
          <w:rFonts w:ascii="仿宋" w:hAnsi="仿宋" w:eastAsia="仿宋"/>
          <w:sz w:val="28"/>
          <w:szCs w:val="28"/>
        </w:rPr>
        <w:t>无。</w:t>
      </w:r>
    </w:p>
    <w:bookmarkEnd w:id="51"/>
    <w:bookmarkEnd w:id="52"/>
    <w:bookmarkEnd w:id="53"/>
    <w:bookmarkEnd w:id="54"/>
    <w:p w14:paraId="07052145">
      <w:pPr>
        <w:pageBreakBefore w:val="0"/>
        <w:kinsoku/>
        <w:wordWrap/>
        <w:overflowPunct/>
        <w:topLinePunct w:val="0"/>
        <w:autoSpaceDE/>
        <w:autoSpaceDN/>
        <w:bidi w:val="0"/>
        <w:spacing w:line="360" w:lineRule="auto"/>
        <w:ind w:firstLine="560" w:firstLineChars="200"/>
        <w:jc w:val="right"/>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废旧农业机械回收体系建设规范</w:t>
      </w:r>
      <w:r>
        <w:rPr>
          <w:rFonts w:hint="eastAsia" w:ascii="仿宋" w:hAnsi="仿宋" w:eastAsia="仿宋"/>
          <w:sz w:val="28"/>
          <w:szCs w:val="28"/>
        </w:rPr>
        <w:t>》</w:t>
      </w:r>
    </w:p>
    <w:p w14:paraId="4740771C">
      <w:pPr>
        <w:pageBreakBefore w:val="0"/>
        <w:kinsoku/>
        <w:wordWrap/>
        <w:overflowPunct/>
        <w:topLinePunct w:val="0"/>
        <w:autoSpaceDE/>
        <w:autoSpaceDN/>
        <w:bidi w:val="0"/>
        <w:spacing w:line="360" w:lineRule="auto"/>
        <w:ind w:firstLine="560" w:firstLineChars="200"/>
        <w:jc w:val="right"/>
        <w:rPr>
          <w:rFonts w:ascii="仿宋" w:hAnsi="仿宋" w:eastAsia="仿宋"/>
          <w:sz w:val="28"/>
          <w:szCs w:val="28"/>
        </w:rPr>
      </w:pPr>
      <w:r>
        <w:rPr>
          <w:rFonts w:hint="eastAsia" w:ascii="仿宋" w:hAnsi="仿宋" w:eastAsia="仿宋"/>
          <w:sz w:val="28"/>
          <w:szCs w:val="28"/>
          <w:lang w:val="en-US" w:eastAsia="zh-CN"/>
        </w:rPr>
        <w:t>标准起草组</w:t>
      </w:r>
    </w:p>
    <w:p w14:paraId="3564FCFB">
      <w:pPr>
        <w:pageBreakBefore w:val="0"/>
        <w:kinsoku/>
        <w:wordWrap/>
        <w:overflowPunct/>
        <w:topLinePunct w:val="0"/>
        <w:autoSpaceDE/>
        <w:autoSpaceDN/>
        <w:bidi w:val="0"/>
        <w:spacing w:line="360" w:lineRule="auto"/>
        <w:ind w:firstLine="560" w:firstLineChars="200"/>
        <w:jc w:val="right"/>
        <w:rPr>
          <w:rFonts w:ascii="仿宋" w:hAnsi="仿宋" w:eastAsia="仿宋"/>
          <w:sz w:val="28"/>
          <w:szCs w:val="28"/>
        </w:rPr>
      </w:pPr>
      <w:r>
        <w:rPr>
          <w:rFonts w:ascii="仿宋" w:hAnsi="仿宋" w:eastAsia="仿宋"/>
          <w:sz w:val="28"/>
          <w:szCs w:val="28"/>
        </w:rPr>
        <w:t>2024年</w:t>
      </w:r>
      <w:r>
        <w:rPr>
          <w:rFonts w:hint="eastAsia" w:ascii="仿宋" w:hAnsi="仿宋" w:eastAsia="仿宋"/>
          <w:sz w:val="28"/>
          <w:szCs w:val="28"/>
          <w:lang w:val="en-US" w:eastAsia="zh-CN"/>
        </w:rPr>
        <w:t>11</w:t>
      </w:r>
      <w:r>
        <w:rPr>
          <w:rFonts w:ascii="仿宋" w:hAnsi="仿宋" w:eastAsia="仿宋"/>
          <w:sz w:val="28"/>
          <w:szCs w:val="28"/>
        </w:rPr>
        <w:t>月</w:t>
      </w:r>
    </w:p>
    <w:sectPr>
      <w:footerReference r:id="rId6"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Helvetica Neue">
    <w:altName w:val="Sylfaen"/>
    <w:panose1 w:val="00000000000000000000"/>
    <w:charset w:val="00"/>
    <w:family w:val="auto"/>
    <w:pitch w:val="default"/>
    <w:sig w:usb0="00000000" w:usb1="00000000" w:usb2="00000010" w:usb3="00000000" w:csb0="00000000"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4AEE6">
    <w:pPr>
      <w:pStyle w:val="14"/>
      <w:spacing w:before="120" w:after="120"/>
      <w:jc w:val="center"/>
    </w:pPr>
  </w:p>
  <w:p w14:paraId="159F19FB">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692CA">
    <w:pPr>
      <w:pStyle w:val="14"/>
      <w:spacing w:before="120" w:after="120"/>
      <w:jc w:val="center"/>
    </w:pPr>
    <w:r>
      <w:fldChar w:fldCharType="begin"/>
    </w:r>
    <w:r>
      <w:instrText xml:space="preserve">PAGE   \* MERGEFORMAT</w:instrText>
    </w:r>
    <w:r>
      <w:fldChar w:fldCharType="separate"/>
    </w:r>
    <w:r>
      <w:rPr>
        <w:lang w:val="zh-CN"/>
      </w:rPr>
      <w:t>I</w:t>
    </w:r>
    <w:r>
      <w:fldChar w:fldCharType="end"/>
    </w:r>
  </w:p>
  <w:p w14:paraId="23EC15C6">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C851">
    <w:pPr>
      <w:pStyle w:val="14"/>
      <w:jc w:val="center"/>
    </w:pPr>
    <w:r>
      <w:fldChar w:fldCharType="begin"/>
    </w:r>
    <w:r>
      <w:instrText xml:space="preserve">PAGE   \* MERGEFORMAT</w:instrText>
    </w:r>
    <w:r>
      <w:fldChar w:fldCharType="separate"/>
    </w:r>
    <w:r>
      <w:rPr>
        <w:lang w:val="zh-CN"/>
      </w:rPr>
      <w:t>30</w:t>
    </w:r>
    <w:r>
      <w:fldChar w:fldCharType="end"/>
    </w:r>
  </w:p>
  <w:p w14:paraId="40006C60">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B49EA">
    <w:pPr>
      <w:pStyle w:val="14"/>
      <w:spacing w:before="120" w:after="120"/>
      <w:jc w:val="center"/>
    </w:pPr>
    <w:r>
      <w:fldChar w:fldCharType="begin"/>
    </w:r>
    <w:r>
      <w:instrText xml:space="preserve">PAGE   \* MERGEFORMAT</w:instrText>
    </w:r>
    <w:r>
      <w:fldChar w:fldCharType="separate"/>
    </w:r>
    <w:r>
      <w:rPr>
        <w:lang w:val="zh-CN"/>
      </w:rPr>
      <w:t>8</w:t>
    </w:r>
    <w:r>
      <w:fldChar w:fldCharType="end"/>
    </w:r>
  </w:p>
  <w:p w14:paraId="58B57EA1">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FEBB9A"/>
    <w:multiLevelType w:val="singleLevel"/>
    <w:tmpl w:val="15FEBB9A"/>
    <w:lvl w:ilvl="0" w:tentative="0">
      <w:start w:val="4"/>
      <w:numFmt w:val="decimal"/>
      <w:suff w:val="nothing"/>
      <w:lvlText w:val="（%1）"/>
      <w:lvlJc w:val="left"/>
    </w:lvl>
  </w:abstractNum>
  <w:abstractNum w:abstractNumId="1">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710" w:firstLine="0"/>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46260FA"/>
    <w:multiLevelType w:val="multilevel"/>
    <w:tmpl w:val="646260FA"/>
    <w:lvl w:ilvl="0" w:tentative="0">
      <w:start w:val="1"/>
      <w:numFmt w:val="decimal"/>
      <w:pStyle w:val="4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57D3FBC"/>
    <w:multiLevelType w:val="multilevel"/>
    <w:tmpl w:val="657D3FBC"/>
    <w:lvl w:ilvl="0" w:tentative="0">
      <w:start w:val="1"/>
      <w:numFmt w:val="upperLetter"/>
      <w:pStyle w:val="4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54"/>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55"/>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pStyle w:val="5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7428E2A"/>
    <w:multiLevelType w:val="multilevel"/>
    <w:tmpl w:val="67428E2A"/>
    <w:lvl w:ilvl="0" w:tentative="0">
      <w:start w:val="1"/>
      <w:numFmt w:val="decimal"/>
      <w:pStyle w:val="2"/>
      <w:lvlText w:val="%1"/>
      <w:lvlJc w:val="left"/>
      <w:pPr>
        <w:tabs>
          <w:tab w:val="left" w:pos="425"/>
        </w:tabs>
        <w:ind w:left="425" w:hanging="425"/>
      </w:pPr>
      <w:rPr>
        <w:rFonts w:hint="eastAsia" w:ascii="黑体" w:hAnsi="黑体" w:eastAsia="黑体"/>
      </w:rPr>
    </w:lvl>
    <w:lvl w:ilvl="1" w:tentative="0">
      <w:start w:val="1"/>
      <w:numFmt w:val="decimal"/>
      <w:lvlText w:val="%1.%2"/>
      <w:lvlJc w:val="left"/>
      <w:pPr>
        <w:tabs>
          <w:tab w:val="left" w:pos="567"/>
        </w:tabs>
        <w:ind w:left="567" w:hanging="567"/>
      </w:pPr>
      <w:rPr>
        <w:rFonts w:hint="eastAsia" w:ascii="黑体" w:hAnsi="黑体" w:eastAsia="黑体"/>
        <w:sz w:val="24"/>
        <w:szCs w:val="24"/>
      </w:rPr>
    </w:lvl>
    <w:lvl w:ilvl="2" w:tentative="0">
      <w:start w:val="1"/>
      <w:numFmt w:val="decimal"/>
      <w:pStyle w:val="5"/>
      <w:lvlText w:val="%1.%2.%3"/>
      <w:lvlJc w:val="left"/>
      <w:pPr>
        <w:tabs>
          <w:tab w:val="left" w:pos="709"/>
        </w:tabs>
        <w:ind w:left="709" w:hanging="709"/>
      </w:pPr>
      <w:rPr>
        <w:rFonts w:hint="eastAsia" w:ascii="黑体" w:hAnsi="黑体" w:eastAsia="黑体"/>
      </w:rPr>
    </w:lvl>
    <w:lvl w:ilvl="3" w:tentative="0">
      <w:start w:val="1"/>
      <w:numFmt w:val="decimal"/>
      <w:suff w:val="nothing"/>
      <w:lvlText w:val="（%4）"/>
      <w:lvlJc w:val="left"/>
      <w:pPr>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7"/>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2ZWExMDIwMTAyNTlkY2I3MDQ0MGE2NzkwYzQ5NGQifQ=="/>
  </w:docVars>
  <w:rsids>
    <w:rsidRoot w:val="00000000"/>
    <w:rsid w:val="08B374B6"/>
    <w:rsid w:val="1F95044B"/>
    <w:rsid w:val="37C247D4"/>
    <w:rsid w:val="38B53210"/>
    <w:rsid w:val="42B31885"/>
    <w:rsid w:val="5019366F"/>
    <w:rsid w:val="51881C50"/>
    <w:rsid w:val="5A4451B8"/>
    <w:rsid w:val="6A6908F7"/>
    <w:rsid w:val="70C32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3"/>
    <w:link w:val="31"/>
    <w:qFormat/>
    <w:uiPriority w:val="0"/>
    <w:pPr>
      <w:keepLines/>
      <w:numPr>
        <w:ilvl w:val="0"/>
        <w:numId w:val="1"/>
      </w:numPr>
      <w:spacing w:before="60" w:after="60"/>
      <w:outlineLvl w:val="0"/>
    </w:pPr>
    <w:rPr>
      <w:rFonts w:eastAsia="黑体"/>
      <w:bCs/>
      <w:kern w:val="44"/>
      <w:sz w:val="28"/>
      <w:szCs w:val="44"/>
    </w:rPr>
  </w:style>
  <w:style w:type="paragraph" w:styleId="4">
    <w:name w:val="heading 2"/>
    <w:basedOn w:val="1"/>
    <w:next w:val="1"/>
    <w:qFormat/>
    <w:uiPriority w:val="0"/>
    <w:pPr>
      <w:spacing w:line="360" w:lineRule="auto"/>
      <w:outlineLvl w:val="1"/>
    </w:pPr>
    <w:rPr>
      <w:b/>
      <w:sz w:val="28"/>
      <w:szCs w:val="28"/>
    </w:rPr>
  </w:style>
  <w:style w:type="paragraph" w:styleId="5">
    <w:name w:val="heading 3"/>
    <w:basedOn w:val="1"/>
    <w:next w:val="1"/>
    <w:link w:val="32"/>
    <w:qFormat/>
    <w:uiPriority w:val="0"/>
    <w:pPr>
      <w:keepNext/>
      <w:keepLines/>
      <w:numPr>
        <w:ilvl w:val="2"/>
        <w:numId w:val="1"/>
      </w:numPr>
      <w:spacing w:before="260" w:after="260" w:line="415" w:lineRule="auto"/>
      <w:outlineLvl w:val="2"/>
    </w:pPr>
    <w:rPr>
      <w:rFonts w:ascii="Calibri" w:hAnsi="Calibri" w:eastAsia="仿宋_GB2312"/>
      <w:b/>
      <w:bCs/>
      <w:sz w:val="32"/>
      <w:szCs w:val="32"/>
    </w:rPr>
  </w:style>
  <w:style w:type="character" w:default="1" w:styleId="27">
    <w:name w:val="Default Paragraph Font"/>
    <w:unhideWhenUsed/>
    <w:qFormat/>
    <w:uiPriority w:val="1"/>
  </w:style>
  <w:style w:type="table" w:default="1" w:styleId="23">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6">
    <w:name w:val="toc 7"/>
    <w:basedOn w:val="1"/>
    <w:next w:val="1"/>
    <w:unhideWhenUsed/>
    <w:qFormat/>
    <w:uiPriority w:val="39"/>
    <w:pPr>
      <w:ind w:left="1260"/>
      <w:jc w:val="left"/>
    </w:pPr>
    <w:rPr>
      <w:rFonts w:ascii="等线" w:eastAsia="等线"/>
      <w:sz w:val="18"/>
      <w:szCs w:val="18"/>
    </w:rPr>
  </w:style>
  <w:style w:type="paragraph" w:styleId="7">
    <w:name w:val="caption"/>
    <w:basedOn w:val="1"/>
    <w:next w:val="1"/>
    <w:qFormat/>
    <w:uiPriority w:val="35"/>
    <w:rPr>
      <w:rFonts w:ascii="等线 Light" w:hAnsi="等线 Light" w:eastAsia="黑体"/>
      <w:sz w:val="20"/>
      <w:szCs w:val="20"/>
    </w:rPr>
  </w:style>
  <w:style w:type="paragraph" w:styleId="8">
    <w:name w:val="annotation text"/>
    <w:basedOn w:val="1"/>
    <w:link w:val="33"/>
    <w:unhideWhenUsed/>
    <w:qFormat/>
    <w:uiPriority w:val="99"/>
    <w:pPr>
      <w:jc w:val="left"/>
    </w:pPr>
  </w:style>
  <w:style w:type="paragraph" w:styleId="9">
    <w:name w:val="toc 5"/>
    <w:basedOn w:val="1"/>
    <w:next w:val="1"/>
    <w:unhideWhenUsed/>
    <w:qFormat/>
    <w:uiPriority w:val="39"/>
    <w:pPr>
      <w:ind w:left="840"/>
      <w:jc w:val="left"/>
    </w:pPr>
    <w:rPr>
      <w:rFonts w:ascii="等线" w:eastAsia="等线"/>
      <w:sz w:val="18"/>
      <w:szCs w:val="18"/>
    </w:rPr>
  </w:style>
  <w:style w:type="paragraph" w:styleId="10">
    <w:name w:val="toc 3"/>
    <w:basedOn w:val="1"/>
    <w:next w:val="1"/>
    <w:unhideWhenUsed/>
    <w:qFormat/>
    <w:uiPriority w:val="39"/>
    <w:pPr>
      <w:ind w:left="420"/>
      <w:jc w:val="left"/>
    </w:pPr>
    <w:rPr>
      <w:rFonts w:ascii="等线" w:eastAsia="等线"/>
      <w:i/>
      <w:iCs/>
      <w:sz w:val="20"/>
      <w:szCs w:val="20"/>
    </w:rPr>
  </w:style>
  <w:style w:type="paragraph" w:styleId="11">
    <w:name w:val="toc 8"/>
    <w:basedOn w:val="1"/>
    <w:next w:val="1"/>
    <w:unhideWhenUsed/>
    <w:qFormat/>
    <w:uiPriority w:val="39"/>
    <w:pPr>
      <w:ind w:left="1470"/>
      <w:jc w:val="left"/>
    </w:pPr>
    <w:rPr>
      <w:rFonts w:ascii="等线" w:eastAsia="等线"/>
      <w:sz w:val="18"/>
      <w:szCs w:val="18"/>
    </w:rPr>
  </w:style>
  <w:style w:type="paragraph" w:styleId="12">
    <w:name w:val="Date"/>
    <w:basedOn w:val="1"/>
    <w:next w:val="1"/>
    <w:link w:val="34"/>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before="120" w:after="120"/>
      <w:jc w:val="left"/>
    </w:pPr>
    <w:rPr>
      <w:rFonts w:ascii="等线" w:eastAsia="等线"/>
      <w:b/>
      <w:bCs/>
      <w:caps/>
      <w:sz w:val="20"/>
      <w:szCs w:val="20"/>
    </w:rPr>
  </w:style>
  <w:style w:type="paragraph" w:styleId="17">
    <w:name w:val="toc 4"/>
    <w:basedOn w:val="1"/>
    <w:next w:val="1"/>
    <w:unhideWhenUsed/>
    <w:qFormat/>
    <w:uiPriority w:val="39"/>
    <w:pPr>
      <w:ind w:left="630"/>
      <w:jc w:val="left"/>
    </w:pPr>
    <w:rPr>
      <w:rFonts w:ascii="等线" w:eastAsia="等线"/>
      <w:sz w:val="18"/>
      <w:szCs w:val="18"/>
    </w:rPr>
  </w:style>
  <w:style w:type="paragraph" w:styleId="18">
    <w:name w:val="toc 6"/>
    <w:basedOn w:val="1"/>
    <w:next w:val="1"/>
    <w:unhideWhenUsed/>
    <w:qFormat/>
    <w:uiPriority w:val="39"/>
    <w:pPr>
      <w:ind w:left="1050"/>
      <w:jc w:val="left"/>
    </w:pPr>
    <w:rPr>
      <w:rFonts w:ascii="等线" w:eastAsia="等线"/>
      <w:sz w:val="18"/>
      <w:szCs w:val="18"/>
    </w:rPr>
  </w:style>
  <w:style w:type="paragraph" w:styleId="19">
    <w:name w:val="toc 2"/>
    <w:basedOn w:val="1"/>
    <w:next w:val="1"/>
    <w:unhideWhenUsed/>
    <w:qFormat/>
    <w:uiPriority w:val="39"/>
    <w:pPr>
      <w:ind w:left="210"/>
      <w:jc w:val="left"/>
    </w:pPr>
    <w:rPr>
      <w:rFonts w:ascii="等线" w:eastAsia="等线"/>
      <w:smallCaps/>
      <w:sz w:val="20"/>
      <w:szCs w:val="20"/>
    </w:rPr>
  </w:style>
  <w:style w:type="paragraph" w:styleId="20">
    <w:name w:val="toc 9"/>
    <w:basedOn w:val="1"/>
    <w:next w:val="1"/>
    <w:unhideWhenUsed/>
    <w:qFormat/>
    <w:uiPriority w:val="39"/>
    <w:pPr>
      <w:ind w:left="1680"/>
      <w:jc w:val="left"/>
    </w:pPr>
    <w:rPr>
      <w:rFonts w:ascii="等线" w:eastAsia="等线"/>
      <w:sz w:val="18"/>
      <w:szCs w:val="18"/>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8"/>
    <w:next w:val="8"/>
    <w:link w:val="38"/>
    <w:unhideWhenUsed/>
    <w:qFormat/>
    <w:uiPriority w:val="99"/>
    <w:rPr>
      <w:b/>
      <w:bCs/>
    </w:rPr>
  </w:style>
  <w:style w:type="table" w:styleId="24">
    <w:name w:val="Table Grid"/>
    <w:basedOn w:val="2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Light Shading"/>
    <w:basedOn w:val="23"/>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6">
    <w:name w:val="Medium Shading 2"/>
    <w:basedOn w:val="23"/>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l2br w:val="nil"/>
          <w:tr2bl w:val="nil"/>
        </w:tcBorders>
      </w:tcPr>
    </w:tblStylePr>
    <w:tblStylePr w:type="nwCell">
      <w:rPr>
        <w:color w:val="FFFFFF"/>
      </w:rPr>
      <w:tblPr/>
      <w:tcPr>
        <w:tcBorders>
          <w:top w:val="single" w:color="auto" w:sz="18" w:space="0"/>
          <w:left w:val="nil"/>
          <w:bottom w:val="single" w:color="auto" w:sz="18" w:space="0"/>
          <w:right w:val="nil"/>
          <w:insideH w:val="nil"/>
          <w:insideV w:val="nil"/>
          <w:tl2br w:val="nil"/>
          <w:tr2bl w:val="nil"/>
        </w:tcBorders>
      </w:tcPr>
    </w:tblStylePr>
  </w:style>
  <w:style w:type="character" w:styleId="28">
    <w:name w:val="Strong"/>
    <w:qFormat/>
    <w:uiPriority w:val="22"/>
    <w:rPr>
      <w:b/>
    </w:rPr>
  </w:style>
  <w:style w:type="character" w:styleId="29">
    <w:name w:val="Hyperlink"/>
    <w:unhideWhenUsed/>
    <w:qFormat/>
    <w:uiPriority w:val="99"/>
    <w:rPr>
      <w:color w:val="0563C1"/>
      <w:u w:val="single"/>
    </w:rPr>
  </w:style>
  <w:style w:type="character" w:styleId="30">
    <w:name w:val="annotation reference"/>
    <w:unhideWhenUsed/>
    <w:qFormat/>
    <w:uiPriority w:val="99"/>
    <w:rPr>
      <w:sz w:val="21"/>
      <w:szCs w:val="21"/>
    </w:rPr>
  </w:style>
  <w:style w:type="character" w:customStyle="1" w:styleId="31">
    <w:name w:val="标题 1 字符"/>
    <w:link w:val="2"/>
    <w:qFormat/>
    <w:uiPriority w:val="0"/>
    <w:rPr>
      <w:rFonts w:ascii="Times New Roman" w:hAnsi="Times New Roman" w:eastAsia="黑体"/>
      <w:bCs/>
      <w:kern w:val="44"/>
      <w:sz w:val="28"/>
      <w:szCs w:val="44"/>
    </w:rPr>
  </w:style>
  <w:style w:type="character" w:customStyle="1" w:styleId="32">
    <w:name w:val="标题 3 字符"/>
    <w:link w:val="5"/>
    <w:semiHidden/>
    <w:qFormat/>
    <w:uiPriority w:val="0"/>
    <w:rPr>
      <w:rFonts w:ascii="Calibri" w:hAnsi="Calibri" w:eastAsia="仿宋_GB2312" w:cs="Times New Roman"/>
      <w:b/>
      <w:bCs/>
      <w:sz w:val="32"/>
      <w:szCs w:val="32"/>
    </w:rPr>
  </w:style>
  <w:style w:type="character" w:customStyle="1" w:styleId="33">
    <w:name w:val="批注文字 字符"/>
    <w:link w:val="8"/>
    <w:semiHidden/>
    <w:qFormat/>
    <w:uiPriority w:val="99"/>
  </w:style>
  <w:style w:type="character" w:customStyle="1" w:styleId="34">
    <w:name w:val="日期 字符"/>
    <w:link w:val="12"/>
    <w:semiHidden/>
    <w:qFormat/>
    <w:uiPriority w:val="99"/>
  </w:style>
  <w:style w:type="character" w:customStyle="1" w:styleId="35">
    <w:name w:val="批注框文本 字符"/>
    <w:link w:val="13"/>
    <w:semiHidden/>
    <w:qFormat/>
    <w:uiPriority w:val="99"/>
    <w:rPr>
      <w:sz w:val="18"/>
      <w:szCs w:val="18"/>
    </w:rPr>
  </w:style>
  <w:style w:type="character" w:customStyle="1" w:styleId="36">
    <w:name w:val="页脚 字符"/>
    <w:link w:val="14"/>
    <w:qFormat/>
    <w:uiPriority w:val="99"/>
    <w:rPr>
      <w:sz w:val="18"/>
      <w:szCs w:val="18"/>
    </w:rPr>
  </w:style>
  <w:style w:type="character" w:customStyle="1" w:styleId="37">
    <w:name w:val="页眉 字符"/>
    <w:link w:val="15"/>
    <w:qFormat/>
    <w:uiPriority w:val="99"/>
    <w:rPr>
      <w:sz w:val="18"/>
      <w:szCs w:val="18"/>
    </w:rPr>
  </w:style>
  <w:style w:type="character" w:customStyle="1" w:styleId="38">
    <w:name w:val="批注主题 字符"/>
    <w:link w:val="22"/>
    <w:semiHidden/>
    <w:qFormat/>
    <w:uiPriority w:val="99"/>
    <w:rPr>
      <w:b/>
      <w:bCs/>
    </w:rPr>
  </w:style>
  <w:style w:type="paragraph" w:customStyle="1" w:styleId="39">
    <w:name w:val="List Paragraph"/>
    <w:basedOn w:val="1"/>
    <w:qFormat/>
    <w:uiPriority w:val="34"/>
    <w:pPr>
      <w:ind w:firstLine="420" w:firstLineChars="200"/>
    </w:pPr>
  </w:style>
  <w:style w:type="paragraph" w:customStyle="1" w:styleId="40">
    <w:name w:val="列出段落1"/>
    <w:basedOn w:val="1"/>
    <w:qFormat/>
    <w:uiPriority w:val="0"/>
    <w:pPr>
      <w:ind w:firstLine="420" w:firstLineChars="200"/>
    </w:pPr>
    <w:rPr>
      <w:rFonts w:eastAsia="仿宋_GB2312"/>
      <w:sz w:val="30"/>
      <w:szCs w:val="20"/>
    </w:rPr>
  </w:style>
  <w:style w:type="paragraph" w:customStyle="1" w:styleId="41">
    <w:name w:val="TOC Heading"/>
    <w:basedOn w:val="2"/>
    <w:next w:val="1"/>
    <w:qFormat/>
    <w:uiPriority w:val="39"/>
    <w:pPr>
      <w:keepNext/>
      <w:widowControl/>
      <w:numPr>
        <w:numId w:val="0"/>
      </w:numPr>
      <w:spacing w:before="240" w:after="0" w:line="259" w:lineRule="auto"/>
      <w:jc w:val="left"/>
      <w:outlineLvl w:val="9"/>
    </w:pPr>
    <w:rPr>
      <w:rFonts w:ascii="Calibri Light" w:hAnsi="Calibri Light" w:eastAsia="宋体"/>
      <w:bCs w:val="0"/>
      <w:color w:val="2E74B5"/>
      <w:kern w:val="0"/>
      <w:sz w:val="32"/>
      <w:szCs w:val="32"/>
    </w:rPr>
  </w:style>
  <w:style w:type="paragraph" w:customStyle="1" w:styleId="42">
    <w:name w:val="一级条标题"/>
    <w:next w:val="1"/>
    <w:qFormat/>
    <w:uiPriority w:val="0"/>
    <w:pPr>
      <w:numPr>
        <w:ilvl w:val="1"/>
        <w:numId w:val="2"/>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43">
    <w:name w:val="章标题"/>
    <w:next w:val="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2"/>
    <w:next w:val="1"/>
    <w:qFormat/>
    <w:uiPriority w:val="0"/>
    <w:pPr>
      <w:numPr>
        <w:ilvl w:val="2"/>
      </w:numPr>
      <w:spacing w:before="50" w:after="50"/>
      <w:outlineLvl w:val="3"/>
    </w:pPr>
  </w:style>
  <w:style w:type="paragraph" w:customStyle="1" w:styleId="45">
    <w:name w:val="四级条标题"/>
    <w:basedOn w:val="1"/>
    <w:next w:val="1"/>
    <w:qFormat/>
    <w:uiPriority w:val="0"/>
    <w:pPr>
      <w:widowControl/>
      <w:numPr>
        <w:ilvl w:val="4"/>
        <w:numId w:val="2"/>
      </w:numPr>
      <w:spacing w:beforeLines="50" w:afterLines="50"/>
      <w:jc w:val="left"/>
      <w:outlineLvl w:val="5"/>
    </w:pPr>
    <w:rPr>
      <w:rFonts w:ascii="黑体" w:eastAsia="黑体"/>
      <w:kern w:val="0"/>
      <w:szCs w:val="21"/>
    </w:rPr>
  </w:style>
  <w:style w:type="paragraph" w:customStyle="1" w:styleId="46">
    <w:name w:val="五级条标题"/>
    <w:basedOn w:val="45"/>
    <w:next w:val="1"/>
    <w:qFormat/>
    <w:uiPriority w:val="0"/>
    <w:pPr>
      <w:numPr>
        <w:ilvl w:val="5"/>
      </w:numPr>
      <w:outlineLvl w:val="6"/>
    </w:pPr>
  </w:style>
  <w:style w:type="paragraph" w:customStyle="1" w:styleId="47">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paragraph" w:customStyle="1" w:styleId="48">
    <w:name w:val="图表"/>
    <w:basedOn w:val="1"/>
    <w:qFormat/>
    <w:uiPriority w:val="0"/>
    <w:pPr>
      <w:spacing w:line="360" w:lineRule="auto"/>
      <w:jc w:val="center"/>
    </w:pPr>
    <w:rPr>
      <w:szCs w:val="24"/>
    </w:rPr>
  </w:style>
  <w:style w:type="paragraph" w:customStyle="1" w:styleId="49">
    <w:name w:val="附录标识"/>
    <w:basedOn w:val="1"/>
    <w:next w:val="1"/>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50">
    <w:name w:val="附录二级条标题"/>
    <w:basedOn w:val="1"/>
    <w:next w:val="1"/>
    <w:qFormat/>
    <w:uiPriority w:val="0"/>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51">
    <w:name w:val="附录三级条标题"/>
    <w:basedOn w:val="50"/>
    <w:next w:val="1"/>
    <w:qFormat/>
    <w:uiPriority w:val="0"/>
    <w:pPr>
      <w:numPr>
        <w:ilvl w:val="4"/>
      </w:numPr>
      <w:outlineLvl w:val="4"/>
    </w:pPr>
  </w:style>
  <w:style w:type="paragraph" w:customStyle="1" w:styleId="52">
    <w:name w:val="附录四级条标题"/>
    <w:basedOn w:val="51"/>
    <w:next w:val="1"/>
    <w:qFormat/>
    <w:uiPriority w:val="0"/>
    <w:pPr>
      <w:numPr>
        <w:ilvl w:val="5"/>
      </w:numPr>
      <w:outlineLvl w:val="5"/>
    </w:pPr>
  </w:style>
  <w:style w:type="paragraph" w:customStyle="1" w:styleId="53">
    <w:name w:val="附录五级条标题"/>
    <w:basedOn w:val="52"/>
    <w:next w:val="1"/>
    <w:qFormat/>
    <w:uiPriority w:val="0"/>
    <w:pPr>
      <w:numPr>
        <w:ilvl w:val="6"/>
      </w:numPr>
      <w:outlineLvl w:val="6"/>
    </w:pPr>
  </w:style>
  <w:style w:type="paragraph" w:customStyle="1" w:styleId="54">
    <w:name w:val="附录章标题"/>
    <w:next w:val="1"/>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55">
    <w:name w:val="附录一级条标题"/>
    <w:basedOn w:val="54"/>
    <w:next w:val="1"/>
    <w:qFormat/>
    <w:uiPriority w:val="0"/>
    <w:pPr>
      <w:numPr>
        <w:ilvl w:val="2"/>
      </w:numPr>
      <w:autoSpaceDN w:val="0"/>
      <w:spacing w:beforeLines="50" w:afterLines="50"/>
      <w:ind w:left="1135"/>
      <w:outlineLvl w:val="2"/>
    </w:pPr>
  </w:style>
  <w:style w:type="paragraph" w:customStyle="1" w:styleId="5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table" w:customStyle="1" w:styleId="57">
    <w:name w:val="网格型1"/>
    <w:basedOn w:val="23"/>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8">
    <w:name w:val="正文段落格式"/>
    <w:basedOn w:val="1"/>
    <w:next w:val="1"/>
    <w:qFormat/>
    <w:uiPriority w:val="0"/>
    <w:pPr>
      <w:ind w:firstLine="539"/>
    </w:pPr>
    <w:rPr>
      <w:sz w:val="24"/>
      <w:szCs w:val="20"/>
    </w:rPr>
  </w:style>
  <w:style w:type="paragraph" w:customStyle="1" w:styleId="59">
    <w:name w:val="三级条标题"/>
    <w:basedOn w:val="44"/>
    <w:next w:val="1"/>
    <w:qFormat/>
    <w:uiPriority w:val="0"/>
    <w:pPr>
      <w:numPr>
        <w:ilvl w:val="0"/>
        <w:numId w:val="0"/>
      </w:numPr>
      <w:outlineLvl w:val="4"/>
    </w:pPr>
  </w:style>
  <w:style w:type="table" w:customStyle="1" w:styleId="60">
    <w:name w:val="Plain Table 2"/>
    <w:basedOn w:val="23"/>
    <w:qFormat/>
    <w:uiPriority w:val="42"/>
    <w:tblPr>
      <w:tblBorders>
        <w:top w:val="single" w:color="7F7F7F" w:sz="4" w:space="0"/>
        <w:bottom w:val="single" w:color="7F7F7F" w:sz="4" w:space="0"/>
      </w:tblBorders>
    </w:tblPr>
    <w:tblStylePr w:type="firstRow">
      <w:rPr>
        <w:b/>
        <w:bCs/>
      </w:rPr>
      <w:tcPr>
        <w:tcBorders>
          <w:top w:val="nil"/>
          <w:left w:val="nil"/>
          <w:bottom w:val="single" w:color="7F7F7F" w:sz="4" w:space="0"/>
          <w:right w:val="nil"/>
          <w:insideH w:val="nil"/>
          <w:insideV w:val="nil"/>
          <w:tl2br w:val="nil"/>
          <w:tr2bl w:val="nil"/>
        </w:tcBorders>
      </w:tcPr>
    </w:tblStylePr>
    <w:tblStylePr w:type="lastRow">
      <w:rPr>
        <w:b/>
        <w:bCs/>
      </w:rPr>
      <w:tcPr>
        <w:tcBorders>
          <w:top w:val="single" w:color="7F7F7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F7F7F" w:sz="4" w:space="0"/>
          <w:bottom w:val="nil"/>
          <w:right w:val="single" w:color="7F7F7F" w:sz="4" w:space="0"/>
          <w:insideH w:val="nil"/>
          <w:insideV w:val="nil"/>
          <w:tl2br w:val="nil"/>
          <w:tr2bl w:val="nil"/>
        </w:tcBorders>
      </w:tcPr>
    </w:tblStylePr>
    <w:tblStylePr w:type="band2Vert">
      <w:tcPr>
        <w:tcBorders>
          <w:top w:val="nil"/>
          <w:left w:val="single" w:color="7F7F7F" w:sz="4" w:space="0"/>
          <w:bottom w:val="nil"/>
          <w:right w:val="single" w:color="7F7F7F" w:sz="4" w:space="0"/>
          <w:insideH w:val="nil"/>
          <w:insideV w:val="nil"/>
          <w:tl2br w:val="nil"/>
          <w:tr2bl w:val="nil"/>
        </w:tcBorders>
      </w:tcPr>
    </w:tblStylePr>
    <w:tblStylePr w:type="band1Horz">
      <w:tcPr>
        <w:tcBorders>
          <w:top w:val="single" w:color="7F7F7F" w:sz="4" w:space="0"/>
          <w:left w:val="nil"/>
          <w:bottom w:val="single" w:color="7F7F7F" w:sz="4" w:space="0"/>
          <w:right w:val="nil"/>
          <w:insideH w:val="nil"/>
          <w:insideV w:val="nil"/>
          <w:tl2br w:val="nil"/>
          <w:tr2bl w:val="nil"/>
        </w:tcBorders>
      </w:tcPr>
    </w:tblStylePr>
  </w:style>
  <w:style w:type="table" w:customStyle="1" w:styleId="61">
    <w:name w:val="Grid Table 1 Light"/>
    <w:basedOn w:val="23"/>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62">
    <w:name w:val="Revision"/>
    <w:unhideWhenUsed/>
    <w:qFormat/>
    <w:uiPriority w:val="99"/>
    <w:rPr>
      <w:rFonts w:ascii="Times New Roman" w:hAnsi="Times New Roman" w:eastAsia="宋体" w:cs="Times New Roman"/>
      <w:kern w:val="2"/>
      <w:sz w:val="21"/>
      <w:szCs w:val="22"/>
      <w:lang w:val="en-US" w:eastAsia="zh-CN" w:bidi="ar-SA"/>
    </w:rPr>
  </w:style>
  <w:style w:type="paragraph" w:customStyle="1" w:styleId="6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
    <w:name w:val="标准文件_术语条一"/>
    <w:basedOn w:val="65"/>
    <w:next w:val="63"/>
    <w:qFormat/>
    <w:uiPriority w:val="0"/>
  </w:style>
  <w:style w:type="paragraph" w:customStyle="1" w:styleId="65">
    <w:name w:val="标准文件_一级无标题"/>
    <w:basedOn w:val="66"/>
    <w:qFormat/>
    <w:uiPriority w:val="0"/>
    <w:pPr>
      <w:spacing w:before="0" w:beforeLines="0" w:after="0" w:afterLines="0"/>
      <w:outlineLvl w:val="9"/>
    </w:pPr>
    <w:rPr>
      <w:rFonts w:ascii="宋体" w:eastAsia="宋体"/>
    </w:rPr>
  </w:style>
  <w:style w:type="paragraph" w:customStyle="1" w:styleId="66">
    <w:name w:val="标准文件_一级条标题"/>
    <w:basedOn w:val="67"/>
    <w:next w:val="63"/>
    <w:qFormat/>
    <w:uiPriority w:val="0"/>
    <w:pPr>
      <w:numPr>
        <w:ilvl w:val="0"/>
        <w:numId w:val="0"/>
      </w:numPr>
      <w:spacing w:before="50" w:beforeLines="50" w:after="50" w:afterLines="50"/>
      <w:outlineLvl w:val="1"/>
    </w:pPr>
  </w:style>
  <w:style w:type="paragraph" w:customStyle="1" w:styleId="67">
    <w:name w:val="标准文件_章标题"/>
    <w:next w:val="63"/>
    <w:qFormat/>
    <w:uiPriority w:val="0"/>
    <w:pPr>
      <w:numPr>
        <w:ilvl w:val="1"/>
        <w:numId w:val="5"/>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3"/>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三级无标题"/>
    <w:basedOn w:val="71"/>
    <w:qFormat/>
    <w:uiPriority w:val="0"/>
    <w:pPr>
      <w:spacing w:before="0" w:beforeLines="0" w:after="0" w:afterLines="0"/>
      <w:outlineLvl w:val="9"/>
    </w:pPr>
    <w:rPr>
      <w:rFonts w:ascii="宋体" w:eastAsia="宋体"/>
    </w:rPr>
  </w:style>
  <w:style w:type="paragraph" w:customStyle="1" w:styleId="71">
    <w:name w:val="标准文件_三级条标题"/>
    <w:basedOn w:val="69"/>
    <w:next w:val="63"/>
    <w:qFormat/>
    <w:uiPriority w:val="0"/>
    <w:pPr>
      <w:widowControl/>
      <w:outlineLvl w:val="3"/>
    </w:pPr>
  </w:style>
  <w:style w:type="paragraph" w:customStyle="1" w:styleId="72">
    <w:name w:val="标准文件_正文表标题"/>
    <w:next w:val="63"/>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73">
    <w:name w:val="标准文件_表格"/>
    <w:basedOn w:val="63"/>
    <w:qFormat/>
    <w:uiPriority w:val="0"/>
    <w:pPr>
      <w:ind w:firstLine="0" w:firstLineChars="0"/>
      <w:jc w:val="center"/>
    </w:pPr>
    <w:rPr>
      <w:sz w:val="18"/>
    </w:rPr>
  </w:style>
  <w:style w:type="table" w:customStyle="1" w:styleId="74">
    <w:name w:val="网格型2"/>
    <w:basedOn w:val="2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网格型3"/>
    <w:basedOn w:val="2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网格型4"/>
    <w:basedOn w:val="2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7">
    <w:name w:val="p1"/>
    <w:basedOn w:val="1"/>
    <w:qFormat/>
    <w:uiPriority w:val="0"/>
    <w:pPr>
      <w:jc w:val="left"/>
    </w:pPr>
    <w:rPr>
      <w:rFonts w:ascii="Helvetica Neue" w:hAnsi="Helvetica Neue" w:eastAsia="Helvetica Neue"/>
      <w:color w:val="000000"/>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18</Pages>
  <Words>7751</Words>
  <Characters>8194</Characters>
  <Lines>1</Lines>
  <Paragraphs>1</Paragraphs>
  <TotalTime>2</TotalTime>
  <ScaleCrop>false</ScaleCrop>
  <LinksUpToDate>false</LinksUpToDate>
  <CharactersWithSpaces>8249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2024-06-26T14:42:00Z</dcterms:created>
  <dc:creator>Sky123.Org</dc:creator>
  <cp:lastModifiedBy>Teacher H</cp:lastModifiedBy>
  <cp:lastPrinted>2024-06-27T10:50:00Z</cp:lastPrinted>
  <dcterms:modified xsi:type="dcterms:W3CDTF">2024-11-25T02:57:30Z</dcterms:modified>
  <dc:title>国家标准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8308940D7CDC4ABBBF4B088B19820797_13</vt:lpwstr>
  </property>
</Properties>
</file>