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7074B" w:rsidRDefault="0027074B">
      <w:pPr>
        <w:ind w:firstLine="720"/>
        <w:jc w:val="center"/>
        <w:rPr>
          <w:rFonts w:eastAsia="黑体"/>
          <w:bCs/>
          <w:sz w:val="36"/>
          <w:szCs w:val="36"/>
        </w:rPr>
      </w:pPr>
    </w:p>
    <w:p w:rsidR="0027074B" w:rsidRDefault="0027074B">
      <w:pPr>
        <w:ind w:firstLineChars="0" w:firstLine="0"/>
        <w:jc w:val="center"/>
        <w:rPr>
          <w:rFonts w:eastAsia="黑体"/>
          <w:bCs/>
          <w:sz w:val="36"/>
          <w:szCs w:val="36"/>
        </w:rPr>
      </w:pPr>
    </w:p>
    <w:p w:rsidR="002760A7" w:rsidRPr="005624C1" w:rsidRDefault="002760A7" w:rsidP="002760A7">
      <w:pPr>
        <w:ind w:firstLineChars="0" w:firstLine="0"/>
        <w:jc w:val="center"/>
        <w:rPr>
          <w:rFonts w:eastAsia="黑体"/>
          <w:bCs/>
          <w:sz w:val="72"/>
          <w:szCs w:val="72"/>
        </w:rPr>
      </w:pPr>
      <w:r w:rsidRPr="005624C1">
        <w:rPr>
          <w:rFonts w:eastAsia="黑体" w:hint="eastAsia"/>
          <w:bCs/>
          <w:sz w:val="72"/>
          <w:szCs w:val="72"/>
        </w:rPr>
        <w:t>团体</w:t>
      </w:r>
      <w:r w:rsidRPr="005624C1">
        <w:rPr>
          <w:rFonts w:eastAsia="黑体"/>
          <w:bCs/>
          <w:sz w:val="72"/>
          <w:szCs w:val="72"/>
        </w:rPr>
        <w:t>标准</w:t>
      </w:r>
    </w:p>
    <w:p w:rsidR="0027074B" w:rsidRDefault="0027074B">
      <w:pPr>
        <w:ind w:firstLineChars="0" w:firstLine="0"/>
        <w:jc w:val="center"/>
        <w:rPr>
          <w:rFonts w:eastAsia="黑体"/>
          <w:bCs/>
          <w:sz w:val="36"/>
          <w:szCs w:val="36"/>
        </w:rPr>
      </w:pPr>
    </w:p>
    <w:p w:rsidR="0027074B" w:rsidRDefault="0027074B">
      <w:pPr>
        <w:ind w:firstLineChars="0" w:firstLine="0"/>
        <w:jc w:val="center"/>
        <w:rPr>
          <w:rFonts w:eastAsia="黑体"/>
          <w:bCs/>
          <w:sz w:val="36"/>
          <w:szCs w:val="36"/>
        </w:rPr>
      </w:pPr>
    </w:p>
    <w:p w:rsidR="002760A7" w:rsidRPr="00296043" w:rsidRDefault="002760A7">
      <w:pPr>
        <w:ind w:firstLineChars="0" w:firstLine="0"/>
        <w:jc w:val="center"/>
        <w:rPr>
          <w:rFonts w:eastAsia="黑体"/>
          <w:bCs/>
          <w:sz w:val="44"/>
          <w:szCs w:val="44"/>
        </w:rPr>
      </w:pPr>
      <w:r w:rsidRPr="00296043">
        <w:rPr>
          <w:rFonts w:eastAsia="黑体"/>
          <w:bCs/>
          <w:sz w:val="44"/>
          <w:szCs w:val="44"/>
        </w:rPr>
        <w:t>畜禽粪便就地覆膜堆肥技术规范</w:t>
      </w:r>
    </w:p>
    <w:p w:rsidR="0027074B" w:rsidRPr="002760A7" w:rsidRDefault="002760A7">
      <w:pPr>
        <w:ind w:firstLineChars="0" w:firstLine="0"/>
        <w:jc w:val="center"/>
        <w:rPr>
          <w:rFonts w:eastAsia="黑体"/>
          <w:bCs/>
          <w:sz w:val="44"/>
          <w:szCs w:val="44"/>
        </w:rPr>
      </w:pPr>
      <w:r w:rsidRPr="002760A7">
        <w:rPr>
          <w:rFonts w:eastAsia="黑体"/>
          <w:bCs/>
          <w:sz w:val="44"/>
          <w:szCs w:val="44"/>
        </w:rPr>
        <w:t>编制说明</w:t>
      </w:r>
    </w:p>
    <w:p w:rsidR="0027074B" w:rsidRDefault="0027074B">
      <w:pPr>
        <w:ind w:firstLineChars="0" w:firstLine="0"/>
        <w:jc w:val="center"/>
        <w:rPr>
          <w:rFonts w:eastAsia="黑体"/>
          <w:bCs/>
          <w:sz w:val="36"/>
          <w:szCs w:val="36"/>
        </w:rPr>
      </w:pPr>
    </w:p>
    <w:p w:rsidR="0027074B" w:rsidRDefault="00296043">
      <w:pPr>
        <w:ind w:firstLineChars="0" w:firstLine="0"/>
        <w:jc w:val="center"/>
        <w:rPr>
          <w:rFonts w:eastAsia="黑体"/>
          <w:bCs/>
          <w:sz w:val="36"/>
          <w:szCs w:val="36"/>
        </w:rPr>
      </w:pPr>
      <w:r w:rsidRPr="002760A7">
        <w:rPr>
          <w:rFonts w:eastAsia="黑体"/>
          <w:bCs/>
          <w:sz w:val="28"/>
          <w:szCs w:val="28"/>
        </w:rPr>
        <w:t>（公开征求意见稿）</w:t>
      </w:r>
    </w:p>
    <w:p w:rsidR="0027074B" w:rsidRDefault="0027074B">
      <w:pPr>
        <w:ind w:firstLineChars="0" w:firstLine="0"/>
        <w:jc w:val="center"/>
        <w:rPr>
          <w:rFonts w:eastAsia="黑体"/>
          <w:bCs/>
          <w:sz w:val="36"/>
          <w:szCs w:val="36"/>
        </w:rPr>
      </w:pPr>
    </w:p>
    <w:p w:rsidR="0027074B" w:rsidRDefault="0027074B">
      <w:pPr>
        <w:ind w:firstLineChars="0" w:firstLine="0"/>
        <w:jc w:val="center"/>
        <w:rPr>
          <w:rFonts w:eastAsia="黑体"/>
          <w:bCs/>
          <w:sz w:val="44"/>
          <w:szCs w:val="36"/>
        </w:rPr>
      </w:pPr>
    </w:p>
    <w:p w:rsidR="0027074B" w:rsidRDefault="0027074B">
      <w:pPr>
        <w:ind w:firstLineChars="0" w:firstLine="0"/>
        <w:jc w:val="center"/>
        <w:rPr>
          <w:rFonts w:eastAsia="黑体"/>
          <w:bCs/>
          <w:sz w:val="36"/>
          <w:szCs w:val="36"/>
        </w:rPr>
      </w:pPr>
    </w:p>
    <w:p w:rsidR="0027074B" w:rsidRDefault="0027074B">
      <w:pPr>
        <w:ind w:firstLineChars="0" w:firstLine="0"/>
        <w:jc w:val="center"/>
        <w:rPr>
          <w:rFonts w:eastAsia="黑体"/>
          <w:bCs/>
          <w:sz w:val="36"/>
          <w:szCs w:val="36"/>
        </w:rPr>
      </w:pPr>
    </w:p>
    <w:p w:rsidR="0027074B" w:rsidRDefault="0027074B">
      <w:pPr>
        <w:ind w:firstLineChars="0" w:firstLine="0"/>
        <w:jc w:val="center"/>
        <w:rPr>
          <w:rFonts w:eastAsia="方正小标宋简体"/>
          <w:bCs/>
          <w:sz w:val="36"/>
          <w:szCs w:val="36"/>
        </w:rPr>
      </w:pPr>
      <w:bookmarkStart w:id="0" w:name="_GoBack"/>
      <w:bookmarkEnd w:id="0"/>
    </w:p>
    <w:p w:rsidR="0027074B" w:rsidRDefault="0027074B">
      <w:pPr>
        <w:ind w:firstLineChars="0" w:firstLine="0"/>
        <w:jc w:val="center"/>
        <w:rPr>
          <w:rFonts w:eastAsia="方正小标宋简体"/>
          <w:bCs/>
          <w:sz w:val="36"/>
          <w:szCs w:val="36"/>
        </w:rPr>
      </w:pPr>
    </w:p>
    <w:p w:rsidR="0027074B" w:rsidRDefault="0027074B">
      <w:pPr>
        <w:ind w:firstLineChars="0" w:firstLine="0"/>
        <w:jc w:val="center"/>
        <w:rPr>
          <w:rFonts w:eastAsia="方正小标宋简体"/>
          <w:bCs/>
          <w:sz w:val="36"/>
          <w:szCs w:val="36"/>
        </w:rPr>
      </w:pPr>
    </w:p>
    <w:p w:rsidR="0027074B" w:rsidRDefault="004B23C3">
      <w:pPr>
        <w:ind w:firstLineChars="0" w:firstLine="0"/>
        <w:jc w:val="center"/>
        <w:rPr>
          <w:rFonts w:eastAsia="黑体"/>
          <w:sz w:val="32"/>
          <w:szCs w:val="32"/>
        </w:rPr>
      </w:pPr>
      <w:r>
        <w:rPr>
          <w:rFonts w:eastAsia="黑体"/>
          <w:sz w:val="32"/>
          <w:szCs w:val="32"/>
        </w:rPr>
        <w:t>《畜禽粪便就地覆膜堆肥技术规范》起草组</w:t>
      </w:r>
    </w:p>
    <w:p w:rsidR="0027074B" w:rsidRDefault="004B23C3">
      <w:pPr>
        <w:ind w:firstLineChars="0" w:firstLine="0"/>
        <w:jc w:val="center"/>
        <w:rPr>
          <w:rFonts w:eastAsia="黑体"/>
          <w:sz w:val="32"/>
          <w:szCs w:val="32"/>
        </w:rPr>
      </w:pPr>
      <w:r>
        <w:rPr>
          <w:rFonts w:eastAsia="黑体"/>
          <w:sz w:val="32"/>
          <w:szCs w:val="32"/>
        </w:rPr>
        <w:t>202</w:t>
      </w:r>
      <w:r w:rsidR="002760A7">
        <w:rPr>
          <w:rFonts w:eastAsia="黑体"/>
          <w:sz w:val="32"/>
          <w:szCs w:val="32"/>
        </w:rPr>
        <w:t>6</w:t>
      </w:r>
      <w:r>
        <w:rPr>
          <w:rFonts w:eastAsia="黑体"/>
          <w:sz w:val="32"/>
          <w:szCs w:val="32"/>
        </w:rPr>
        <w:t>年</w:t>
      </w:r>
      <w:r w:rsidR="002760A7">
        <w:rPr>
          <w:rFonts w:eastAsia="黑体"/>
          <w:sz w:val="32"/>
          <w:szCs w:val="32"/>
        </w:rPr>
        <w:t>4</w:t>
      </w:r>
      <w:r>
        <w:rPr>
          <w:rFonts w:eastAsia="黑体"/>
          <w:sz w:val="32"/>
          <w:szCs w:val="32"/>
        </w:rPr>
        <w:t>月</w:t>
      </w:r>
    </w:p>
    <w:p w:rsidR="0027074B" w:rsidRDefault="004B23C3">
      <w:pPr>
        <w:widowControl/>
        <w:adjustRightInd/>
        <w:snapToGrid/>
        <w:spacing w:line="240" w:lineRule="auto"/>
        <w:ind w:firstLineChars="0" w:firstLine="0"/>
        <w:jc w:val="center"/>
        <w:rPr>
          <w:rFonts w:eastAsia="黑体"/>
          <w:sz w:val="32"/>
        </w:rPr>
      </w:pPr>
      <w:r>
        <w:rPr>
          <w:rFonts w:eastAsia="黑体"/>
          <w:sz w:val="32"/>
        </w:rPr>
        <w:br w:type="page"/>
      </w:r>
      <w:r>
        <w:rPr>
          <w:rFonts w:eastAsia="黑体"/>
          <w:sz w:val="32"/>
        </w:rPr>
        <w:lastRenderedPageBreak/>
        <w:t>目</w:t>
      </w:r>
      <w:r>
        <w:rPr>
          <w:rFonts w:eastAsia="黑体"/>
          <w:sz w:val="32"/>
        </w:rPr>
        <w:t xml:space="preserve">  </w:t>
      </w:r>
      <w:r>
        <w:rPr>
          <w:rFonts w:eastAsia="黑体"/>
          <w:sz w:val="32"/>
        </w:rPr>
        <w:t>录</w:t>
      </w:r>
    </w:p>
    <w:p w:rsidR="0027074B" w:rsidRDefault="004B23C3">
      <w:pPr>
        <w:pStyle w:val="11"/>
        <w:rPr>
          <w:rFonts w:eastAsiaTheme="minorEastAsia"/>
          <w:b w:val="0"/>
          <w:sz w:val="21"/>
          <w:lang w:val="en-US"/>
        </w:rPr>
      </w:pPr>
      <w:r>
        <w:rPr>
          <w:b w:val="0"/>
          <w:sz w:val="32"/>
        </w:rPr>
        <w:fldChar w:fldCharType="begin"/>
      </w:r>
      <w:r>
        <w:rPr>
          <w:b w:val="0"/>
          <w:sz w:val="32"/>
        </w:rPr>
        <w:instrText xml:space="preserve"> TOC \o "1-2" \h \z \u </w:instrText>
      </w:r>
      <w:r>
        <w:rPr>
          <w:b w:val="0"/>
          <w:sz w:val="32"/>
        </w:rPr>
        <w:fldChar w:fldCharType="separate"/>
      </w:r>
      <w:hyperlink w:anchor="_Toc203082613" w:history="1">
        <w:r>
          <w:rPr>
            <w:rStyle w:val="af1"/>
            <w:rFonts w:eastAsia="黑体"/>
          </w:rPr>
          <w:t>一、工作简况</w:t>
        </w:r>
        <w:r>
          <w:tab/>
        </w:r>
        <w:r>
          <w:fldChar w:fldCharType="begin"/>
        </w:r>
        <w:r>
          <w:instrText xml:space="preserve"> PAGEREF _Toc203082613 \h </w:instrText>
        </w:r>
        <w:r>
          <w:fldChar w:fldCharType="separate"/>
        </w:r>
        <w:r>
          <w:t>1</w:t>
        </w:r>
        <w:r>
          <w:fldChar w:fldCharType="end"/>
        </w:r>
      </w:hyperlink>
    </w:p>
    <w:p w:rsidR="0027074B" w:rsidRDefault="004B23C3">
      <w:pPr>
        <w:pStyle w:val="21"/>
        <w:rPr>
          <w:rFonts w:eastAsiaTheme="minorEastAsia"/>
          <w:sz w:val="21"/>
        </w:rPr>
      </w:pPr>
      <w:hyperlink w:anchor="_Toc203082614" w:history="1">
        <w:r>
          <w:rPr>
            <w:rStyle w:val="af1"/>
          </w:rPr>
          <w:t>（一）任务来源</w:t>
        </w:r>
        <w:r>
          <w:tab/>
        </w:r>
        <w:r>
          <w:fldChar w:fldCharType="begin"/>
        </w:r>
        <w:r>
          <w:instrText xml:space="preserve"> PAGEREF _Toc203082614 \h </w:instrText>
        </w:r>
        <w:r>
          <w:fldChar w:fldCharType="separate"/>
        </w:r>
        <w:r>
          <w:t>1</w:t>
        </w:r>
        <w:r>
          <w:fldChar w:fldCharType="end"/>
        </w:r>
      </w:hyperlink>
    </w:p>
    <w:p w:rsidR="0027074B" w:rsidRDefault="004B23C3">
      <w:pPr>
        <w:pStyle w:val="21"/>
        <w:rPr>
          <w:rFonts w:eastAsiaTheme="minorEastAsia"/>
          <w:sz w:val="21"/>
        </w:rPr>
      </w:pPr>
      <w:hyperlink w:anchor="_Toc203082615" w:history="1">
        <w:r>
          <w:rPr>
            <w:rStyle w:val="af1"/>
          </w:rPr>
          <w:t>（二）标准制定背景</w:t>
        </w:r>
        <w:r>
          <w:tab/>
        </w:r>
        <w:r>
          <w:fldChar w:fldCharType="begin"/>
        </w:r>
        <w:r>
          <w:instrText xml:space="preserve"> PAGEREF _Toc203082615 \h </w:instrText>
        </w:r>
        <w:r>
          <w:fldChar w:fldCharType="separate"/>
        </w:r>
        <w:r>
          <w:t>1</w:t>
        </w:r>
        <w:r>
          <w:fldChar w:fldCharType="end"/>
        </w:r>
      </w:hyperlink>
    </w:p>
    <w:p w:rsidR="0027074B" w:rsidRDefault="004B23C3">
      <w:pPr>
        <w:pStyle w:val="21"/>
        <w:rPr>
          <w:rFonts w:eastAsiaTheme="minorEastAsia"/>
          <w:sz w:val="21"/>
        </w:rPr>
      </w:pPr>
      <w:hyperlink w:anchor="_Toc203082616" w:history="1">
        <w:r>
          <w:rPr>
            <w:rStyle w:val="af1"/>
          </w:rPr>
          <w:t>（三）标准起草组成员</w:t>
        </w:r>
        <w:r>
          <w:tab/>
        </w:r>
        <w:r>
          <w:fldChar w:fldCharType="begin"/>
        </w:r>
        <w:r>
          <w:instrText xml:space="preserve"> PAGEREF _Toc203082616 \h </w:instrText>
        </w:r>
        <w:r>
          <w:fldChar w:fldCharType="separate"/>
        </w:r>
        <w:r>
          <w:t>2</w:t>
        </w:r>
        <w:r>
          <w:fldChar w:fldCharType="end"/>
        </w:r>
      </w:hyperlink>
    </w:p>
    <w:p w:rsidR="0027074B" w:rsidRDefault="004B23C3">
      <w:pPr>
        <w:pStyle w:val="21"/>
        <w:rPr>
          <w:rFonts w:eastAsiaTheme="minorEastAsia"/>
          <w:sz w:val="21"/>
        </w:rPr>
      </w:pPr>
      <w:hyperlink w:anchor="_Toc203082617" w:history="1">
        <w:r>
          <w:rPr>
            <w:rStyle w:val="af1"/>
          </w:rPr>
          <w:t>（四）标准制定过程</w:t>
        </w:r>
        <w:r>
          <w:tab/>
        </w:r>
        <w:r>
          <w:fldChar w:fldCharType="begin"/>
        </w:r>
        <w:r>
          <w:instrText xml:space="preserve"> PAGEREF _Toc203082617 \h </w:instrText>
        </w:r>
        <w:r>
          <w:fldChar w:fldCharType="separate"/>
        </w:r>
        <w:r>
          <w:t>3</w:t>
        </w:r>
        <w:r>
          <w:fldChar w:fldCharType="end"/>
        </w:r>
      </w:hyperlink>
    </w:p>
    <w:p w:rsidR="0027074B" w:rsidRDefault="004B23C3">
      <w:pPr>
        <w:pStyle w:val="11"/>
        <w:rPr>
          <w:rFonts w:eastAsiaTheme="minorEastAsia"/>
          <w:b w:val="0"/>
          <w:sz w:val="21"/>
          <w:lang w:val="en-US"/>
        </w:rPr>
      </w:pPr>
      <w:hyperlink w:anchor="_Toc203082618" w:history="1">
        <w:r w:rsidR="002760A7">
          <w:rPr>
            <w:rStyle w:val="af1"/>
            <w:rFonts w:eastAsia="黑体"/>
          </w:rPr>
          <w:t>二、</w:t>
        </w:r>
        <w:r>
          <w:rPr>
            <w:rStyle w:val="af1"/>
            <w:rFonts w:eastAsia="黑体"/>
          </w:rPr>
          <w:t>标准编制原则、主要内容及其确定依据</w:t>
        </w:r>
        <w:r>
          <w:tab/>
        </w:r>
        <w:r>
          <w:fldChar w:fldCharType="begin"/>
        </w:r>
        <w:r>
          <w:instrText xml:space="preserve"> PAGEREF _Toc203082618 \h </w:instrText>
        </w:r>
        <w:r>
          <w:fldChar w:fldCharType="separate"/>
        </w:r>
        <w:r>
          <w:t>5</w:t>
        </w:r>
        <w:r>
          <w:fldChar w:fldCharType="end"/>
        </w:r>
      </w:hyperlink>
    </w:p>
    <w:p w:rsidR="0027074B" w:rsidRDefault="004B23C3">
      <w:pPr>
        <w:pStyle w:val="21"/>
        <w:rPr>
          <w:rFonts w:eastAsiaTheme="minorEastAsia"/>
          <w:sz w:val="21"/>
        </w:rPr>
      </w:pPr>
      <w:hyperlink w:anchor="_Toc203082619" w:history="1">
        <w:r>
          <w:rPr>
            <w:rStyle w:val="af1"/>
          </w:rPr>
          <w:t>（一）标准编制原则</w:t>
        </w:r>
        <w:r>
          <w:tab/>
        </w:r>
        <w:r>
          <w:fldChar w:fldCharType="begin"/>
        </w:r>
        <w:r>
          <w:instrText xml:space="preserve"> PAGEREF _Toc203082619 \h </w:instrText>
        </w:r>
        <w:r>
          <w:fldChar w:fldCharType="separate"/>
        </w:r>
        <w:r>
          <w:t>5</w:t>
        </w:r>
        <w:r>
          <w:fldChar w:fldCharType="end"/>
        </w:r>
      </w:hyperlink>
    </w:p>
    <w:p w:rsidR="0027074B" w:rsidRDefault="004B23C3">
      <w:pPr>
        <w:pStyle w:val="21"/>
        <w:rPr>
          <w:rFonts w:eastAsiaTheme="minorEastAsia"/>
          <w:sz w:val="21"/>
        </w:rPr>
      </w:pPr>
      <w:hyperlink w:anchor="_Toc203082620" w:history="1">
        <w:r>
          <w:rPr>
            <w:rStyle w:val="af1"/>
          </w:rPr>
          <w:t>（二）技术路线</w:t>
        </w:r>
        <w:r>
          <w:tab/>
        </w:r>
        <w:r>
          <w:fldChar w:fldCharType="begin"/>
        </w:r>
        <w:r>
          <w:instrText xml:space="preserve"> PAGEREF _Toc203082620 \h </w:instrText>
        </w:r>
        <w:r>
          <w:fldChar w:fldCharType="separate"/>
        </w:r>
        <w:r>
          <w:t>5</w:t>
        </w:r>
        <w:r>
          <w:fldChar w:fldCharType="end"/>
        </w:r>
      </w:hyperlink>
    </w:p>
    <w:p w:rsidR="0027074B" w:rsidRDefault="004B23C3">
      <w:pPr>
        <w:pStyle w:val="21"/>
        <w:rPr>
          <w:rFonts w:eastAsiaTheme="minorEastAsia"/>
          <w:sz w:val="21"/>
        </w:rPr>
      </w:pPr>
      <w:hyperlink w:anchor="_Toc203082621" w:history="1">
        <w:r>
          <w:rPr>
            <w:rStyle w:val="af1"/>
          </w:rPr>
          <w:t>（三）本文件主要参考的其他标准</w:t>
        </w:r>
        <w:r>
          <w:tab/>
        </w:r>
        <w:r>
          <w:fldChar w:fldCharType="begin"/>
        </w:r>
        <w:r>
          <w:instrText xml:space="preserve"> PAGEREF _Toc203082621 \h </w:instrText>
        </w:r>
        <w:r>
          <w:fldChar w:fldCharType="separate"/>
        </w:r>
        <w:r>
          <w:t>6</w:t>
        </w:r>
        <w:r>
          <w:fldChar w:fldCharType="end"/>
        </w:r>
      </w:hyperlink>
    </w:p>
    <w:p w:rsidR="0027074B" w:rsidRDefault="004B23C3">
      <w:pPr>
        <w:pStyle w:val="21"/>
        <w:rPr>
          <w:rFonts w:eastAsiaTheme="minorEastAsia"/>
          <w:sz w:val="21"/>
        </w:rPr>
      </w:pPr>
      <w:hyperlink w:anchor="_Toc203082622" w:history="1">
        <w:r>
          <w:rPr>
            <w:rStyle w:val="af1"/>
          </w:rPr>
          <w:t>（四）主要内容及其确定依据</w:t>
        </w:r>
        <w:r>
          <w:tab/>
        </w:r>
        <w:r>
          <w:fldChar w:fldCharType="begin"/>
        </w:r>
        <w:r>
          <w:instrText xml:space="preserve"> PAGEREF _Toc203082622 \h </w:instrText>
        </w:r>
        <w:r>
          <w:fldChar w:fldCharType="separate"/>
        </w:r>
        <w:r>
          <w:t>7</w:t>
        </w:r>
        <w:r>
          <w:fldChar w:fldCharType="end"/>
        </w:r>
      </w:hyperlink>
    </w:p>
    <w:p w:rsidR="0027074B" w:rsidRDefault="004B23C3">
      <w:pPr>
        <w:pStyle w:val="11"/>
        <w:rPr>
          <w:rFonts w:eastAsiaTheme="minorEastAsia"/>
          <w:b w:val="0"/>
          <w:sz w:val="21"/>
          <w:lang w:val="en-US"/>
        </w:rPr>
      </w:pPr>
      <w:hyperlink w:anchor="_Toc203082623" w:history="1">
        <w:r>
          <w:rPr>
            <w:rStyle w:val="af1"/>
            <w:rFonts w:eastAsia="黑体"/>
          </w:rPr>
          <w:t>三、试验验证的分析、综述报告，技术经济论证，预期的经济效益、社会效益和生态效益</w:t>
        </w:r>
        <w:r>
          <w:tab/>
        </w:r>
        <w:r>
          <w:fldChar w:fldCharType="begin"/>
        </w:r>
        <w:r>
          <w:instrText xml:space="preserve"> PAGEREF _Toc203082623 \h </w:instrText>
        </w:r>
        <w:r>
          <w:fldChar w:fldCharType="separate"/>
        </w:r>
        <w:r>
          <w:t>20</w:t>
        </w:r>
        <w:r>
          <w:fldChar w:fldCharType="end"/>
        </w:r>
      </w:hyperlink>
    </w:p>
    <w:p w:rsidR="0027074B" w:rsidRDefault="004B23C3">
      <w:pPr>
        <w:pStyle w:val="21"/>
        <w:rPr>
          <w:rFonts w:eastAsiaTheme="minorEastAsia"/>
          <w:sz w:val="21"/>
        </w:rPr>
      </w:pPr>
      <w:hyperlink w:anchor="_Toc203082624" w:history="1">
        <w:r>
          <w:rPr>
            <w:rStyle w:val="af1"/>
          </w:rPr>
          <w:t>（一）试验验证的分析、综述报告</w:t>
        </w:r>
        <w:r>
          <w:tab/>
        </w:r>
        <w:r>
          <w:fldChar w:fldCharType="begin"/>
        </w:r>
        <w:r>
          <w:instrText xml:space="preserve"> PAGEREF _Toc203082624 \h </w:instrText>
        </w:r>
        <w:r>
          <w:fldChar w:fldCharType="separate"/>
        </w:r>
        <w:r>
          <w:t>20</w:t>
        </w:r>
        <w:r>
          <w:fldChar w:fldCharType="end"/>
        </w:r>
      </w:hyperlink>
    </w:p>
    <w:p w:rsidR="0027074B" w:rsidRDefault="004B23C3">
      <w:pPr>
        <w:pStyle w:val="21"/>
        <w:rPr>
          <w:rFonts w:eastAsiaTheme="minorEastAsia"/>
          <w:sz w:val="21"/>
        </w:rPr>
      </w:pPr>
      <w:hyperlink w:anchor="_Toc203082625" w:history="1">
        <w:r>
          <w:rPr>
            <w:rStyle w:val="af1"/>
          </w:rPr>
          <w:t>（二）技术经济论证</w:t>
        </w:r>
        <w:r>
          <w:tab/>
        </w:r>
        <w:r>
          <w:fldChar w:fldCharType="begin"/>
        </w:r>
        <w:r>
          <w:instrText xml:space="preserve"> PAGEREF _Toc203082625 \h </w:instrText>
        </w:r>
        <w:r>
          <w:fldChar w:fldCharType="separate"/>
        </w:r>
        <w:r>
          <w:t>34</w:t>
        </w:r>
        <w:r>
          <w:fldChar w:fldCharType="end"/>
        </w:r>
      </w:hyperlink>
    </w:p>
    <w:p w:rsidR="0027074B" w:rsidRDefault="004B23C3">
      <w:pPr>
        <w:pStyle w:val="21"/>
        <w:rPr>
          <w:rFonts w:eastAsiaTheme="minorEastAsia"/>
          <w:sz w:val="21"/>
        </w:rPr>
      </w:pPr>
      <w:hyperlink w:anchor="_Toc203082626" w:history="1">
        <w:r>
          <w:rPr>
            <w:rStyle w:val="af1"/>
          </w:rPr>
          <w:t>（三）效益分析</w:t>
        </w:r>
        <w:r>
          <w:tab/>
        </w:r>
        <w:r>
          <w:fldChar w:fldCharType="begin"/>
        </w:r>
        <w:r>
          <w:instrText xml:space="preserve"> PAGEREF _Toc203082626 \h </w:instrText>
        </w:r>
        <w:r>
          <w:fldChar w:fldCharType="separate"/>
        </w:r>
        <w:r>
          <w:t>38</w:t>
        </w:r>
        <w:r>
          <w:fldChar w:fldCharType="end"/>
        </w:r>
      </w:hyperlink>
    </w:p>
    <w:p w:rsidR="0027074B" w:rsidRDefault="004B23C3">
      <w:pPr>
        <w:pStyle w:val="11"/>
        <w:rPr>
          <w:rFonts w:eastAsiaTheme="minorEastAsia"/>
          <w:b w:val="0"/>
          <w:sz w:val="21"/>
          <w:lang w:val="en-US"/>
        </w:rPr>
      </w:pPr>
      <w:hyperlink w:anchor="_Toc203082627" w:history="1">
        <w:r>
          <w:rPr>
            <w:rStyle w:val="af1"/>
            <w:rFonts w:eastAsia="黑体"/>
          </w:rPr>
          <w:t>四、与国际、国外同类标准技术内容的对比及引用情况</w:t>
        </w:r>
        <w:r>
          <w:tab/>
        </w:r>
        <w:r>
          <w:fldChar w:fldCharType="begin"/>
        </w:r>
        <w:r>
          <w:instrText xml:space="preserve"> PAGEREF _Toc203082627 \h </w:instrText>
        </w:r>
        <w:r>
          <w:fldChar w:fldCharType="separate"/>
        </w:r>
        <w:r>
          <w:t>39</w:t>
        </w:r>
        <w:r>
          <w:fldChar w:fldCharType="end"/>
        </w:r>
      </w:hyperlink>
    </w:p>
    <w:p w:rsidR="0027074B" w:rsidRDefault="004B23C3">
      <w:pPr>
        <w:pStyle w:val="11"/>
        <w:rPr>
          <w:rFonts w:eastAsiaTheme="minorEastAsia"/>
          <w:b w:val="0"/>
          <w:sz w:val="21"/>
          <w:lang w:val="en-US"/>
        </w:rPr>
      </w:pPr>
      <w:hyperlink w:anchor="_Toc203082628" w:history="1">
        <w:r>
          <w:rPr>
            <w:rStyle w:val="af1"/>
            <w:rFonts w:eastAsia="黑体"/>
          </w:rPr>
          <w:t>五、以国际标准为基础的起草情况，以及是否合规引用或者采用国际国外标准，并说明未采用国际标准的原因</w:t>
        </w:r>
        <w:r>
          <w:tab/>
        </w:r>
        <w:r>
          <w:fldChar w:fldCharType="begin"/>
        </w:r>
        <w:r>
          <w:instrText xml:space="preserve"> PAGEREF _Toc203082628 \h </w:instrText>
        </w:r>
        <w:r>
          <w:fldChar w:fldCharType="separate"/>
        </w:r>
        <w:r>
          <w:t>39</w:t>
        </w:r>
        <w:r>
          <w:fldChar w:fldCharType="end"/>
        </w:r>
      </w:hyperlink>
    </w:p>
    <w:p w:rsidR="0027074B" w:rsidRDefault="004B23C3">
      <w:pPr>
        <w:pStyle w:val="11"/>
        <w:rPr>
          <w:rFonts w:eastAsiaTheme="minorEastAsia"/>
          <w:b w:val="0"/>
          <w:sz w:val="21"/>
          <w:lang w:val="en-US"/>
        </w:rPr>
      </w:pPr>
      <w:hyperlink w:anchor="_Toc203082629" w:history="1">
        <w:r>
          <w:rPr>
            <w:rStyle w:val="af1"/>
            <w:rFonts w:eastAsia="黑体"/>
          </w:rPr>
          <w:t>六、与有关法律、行政法规及相关标准的关系</w:t>
        </w:r>
        <w:r>
          <w:tab/>
        </w:r>
        <w:r>
          <w:fldChar w:fldCharType="begin"/>
        </w:r>
        <w:r>
          <w:instrText xml:space="preserve"> PAGEREF _Toc203082629 \h </w:instrText>
        </w:r>
        <w:r>
          <w:fldChar w:fldCharType="separate"/>
        </w:r>
        <w:r>
          <w:t>39</w:t>
        </w:r>
        <w:r>
          <w:fldChar w:fldCharType="end"/>
        </w:r>
      </w:hyperlink>
    </w:p>
    <w:p w:rsidR="0027074B" w:rsidRDefault="004B23C3">
      <w:pPr>
        <w:pStyle w:val="11"/>
        <w:rPr>
          <w:rFonts w:eastAsiaTheme="minorEastAsia"/>
          <w:b w:val="0"/>
          <w:sz w:val="21"/>
          <w:lang w:val="en-US"/>
        </w:rPr>
      </w:pPr>
      <w:hyperlink w:anchor="_Toc203082630" w:history="1">
        <w:r>
          <w:rPr>
            <w:rStyle w:val="af1"/>
            <w:rFonts w:eastAsia="黑体"/>
          </w:rPr>
          <w:t>七、重大意见分歧的处理依据和结果</w:t>
        </w:r>
        <w:r>
          <w:tab/>
        </w:r>
        <w:r>
          <w:fldChar w:fldCharType="begin"/>
        </w:r>
        <w:r>
          <w:instrText xml:space="preserve"> PAGEREF _Toc203082630 \h </w:instrText>
        </w:r>
        <w:r>
          <w:fldChar w:fldCharType="separate"/>
        </w:r>
        <w:r>
          <w:t>40</w:t>
        </w:r>
        <w:r>
          <w:fldChar w:fldCharType="end"/>
        </w:r>
      </w:hyperlink>
    </w:p>
    <w:p w:rsidR="0027074B" w:rsidRDefault="004B23C3">
      <w:pPr>
        <w:pStyle w:val="11"/>
        <w:rPr>
          <w:rFonts w:eastAsiaTheme="minorEastAsia"/>
          <w:b w:val="0"/>
          <w:sz w:val="21"/>
          <w:lang w:val="en-US"/>
        </w:rPr>
      </w:pPr>
      <w:hyperlink w:anchor="_Toc203082631" w:history="1">
        <w:r>
          <w:rPr>
            <w:rStyle w:val="af1"/>
            <w:rFonts w:eastAsia="黑体"/>
          </w:rPr>
          <w:t>八、涉及专利的有关说明</w:t>
        </w:r>
        <w:r>
          <w:tab/>
        </w:r>
        <w:r>
          <w:fldChar w:fldCharType="begin"/>
        </w:r>
        <w:r>
          <w:instrText xml:space="preserve"> PAGEREF _Toc203082631 \h </w:instrText>
        </w:r>
        <w:r>
          <w:fldChar w:fldCharType="separate"/>
        </w:r>
        <w:r>
          <w:t>40</w:t>
        </w:r>
        <w:r>
          <w:fldChar w:fldCharType="end"/>
        </w:r>
      </w:hyperlink>
    </w:p>
    <w:p w:rsidR="0027074B" w:rsidRDefault="004B23C3">
      <w:pPr>
        <w:pStyle w:val="11"/>
        <w:rPr>
          <w:rFonts w:eastAsiaTheme="minorEastAsia"/>
          <w:b w:val="0"/>
          <w:sz w:val="21"/>
          <w:lang w:val="en-US"/>
        </w:rPr>
      </w:pPr>
      <w:hyperlink w:anchor="_Toc203082632" w:history="1">
        <w:r>
          <w:rPr>
            <w:rStyle w:val="af1"/>
            <w:rFonts w:eastAsia="黑体"/>
          </w:rPr>
          <w:t>九、实施国家标准的要求，以及组织措施、技术措施、过渡期和实施日期的建议等措施建议</w:t>
        </w:r>
        <w:r>
          <w:tab/>
        </w:r>
        <w:r>
          <w:fldChar w:fldCharType="begin"/>
        </w:r>
        <w:r>
          <w:instrText xml:space="preserve"> PAGEREF _Toc203082632 \h </w:instrText>
        </w:r>
        <w:r>
          <w:fldChar w:fldCharType="separate"/>
        </w:r>
        <w:r>
          <w:t>40</w:t>
        </w:r>
        <w:r>
          <w:fldChar w:fldCharType="end"/>
        </w:r>
      </w:hyperlink>
    </w:p>
    <w:p w:rsidR="0027074B" w:rsidRDefault="004B23C3">
      <w:pPr>
        <w:pStyle w:val="11"/>
        <w:rPr>
          <w:rFonts w:eastAsia="黑体"/>
          <w:sz w:val="32"/>
        </w:rPr>
      </w:pPr>
      <w:hyperlink w:anchor="_Toc203082633" w:history="1">
        <w:r>
          <w:rPr>
            <w:rStyle w:val="af1"/>
            <w:rFonts w:eastAsia="黑体"/>
          </w:rPr>
          <w:t>十、其他应当说明的事项</w:t>
        </w:r>
        <w:r>
          <w:tab/>
        </w:r>
        <w:r>
          <w:fldChar w:fldCharType="begin"/>
        </w:r>
        <w:r>
          <w:instrText xml:space="preserve"> PAGEREF _Toc203082633 \h </w:instrText>
        </w:r>
        <w:r>
          <w:fldChar w:fldCharType="separate"/>
        </w:r>
        <w:r>
          <w:t>40</w:t>
        </w:r>
        <w:r>
          <w:fldChar w:fldCharType="end"/>
        </w:r>
      </w:hyperlink>
      <w:r>
        <w:rPr>
          <w:b w:val="0"/>
          <w:sz w:val="32"/>
        </w:rPr>
        <w:fldChar w:fldCharType="end"/>
      </w:r>
    </w:p>
    <w:p w:rsidR="0027074B" w:rsidRDefault="0027074B">
      <w:pPr>
        <w:widowControl/>
        <w:adjustRightInd/>
        <w:snapToGrid/>
        <w:spacing w:line="240" w:lineRule="auto"/>
        <w:ind w:firstLineChars="0" w:firstLine="0"/>
        <w:jc w:val="center"/>
        <w:rPr>
          <w:rFonts w:eastAsia="黑体"/>
          <w:sz w:val="32"/>
        </w:rPr>
        <w:sectPr w:rsidR="0027074B">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cols w:space="425"/>
          <w:docGrid w:type="lines" w:linePitch="312"/>
        </w:sectPr>
      </w:pPr>
    </w:p>
    <w:p w:rsidR="0027074B" w:rsidRDefault="004B23C3">
      <w:pPr>
        <w:pStyle w:val="1"/>
        <w:spacing w:before="0" w:beforeAutospacing="0" w:after="0" w:afterAutospacing="0"/>
        <w:ind w:firstLineChars="200" w:firstLine="562"/>
        <w:rPr>
          <w:rFonts w:ascii="Times New Roman" w:eastAsia="黑体" w:hAnsi="Times New Roman" w:cs="Times New Roman"/>
          <w:sz w:val="28"/>
          <w:lang w:val="zh-CN"/>
        </w:rPr>
      </w:pPr>
      <w:bookmarkStart w:id="1" w:name="_Toc203082613"/>
      <w:r>
        <w:rPr>
          <w:rFonts w:ascii="Times New Roman" w:eastAsia="黑体" w:hAnsi="Times New Roman" w:cs="Times New Roman"/>
          <w:sz w:val="28"/>
          <w:lang w:val="zh-CN"/>
        </w:rPr>
        <w:lastRenderedPageBreak/>
        <w:t>一、工作简况</w:t>
      </w:r>
      <w:bookmarkEnd w:id="1"/>
    </w:p>
    <w:p w:rsidR="0027074B" w:rsidRDefault="004B23C3">
      <w:pPr>
        <w:pStyle w:val="22"/>
        <w:ind w:firstLine="562"/>
      </w:pPr>
      <w:bookmarkStart w:id="2" w:name="_Toc203082614"/>
      <w:r>
        <w:t>（一）任务来源</w:t>
      </w:r>
      <w:bookmarkEnd w:id="2"/>
    </w:p>
    <w:p w:rsidR="0027074B" w:rsidRDefault="004B23C3">
      <w:pPr>
        <w:pStyle w:val="22"/>
        <w:adjustRightInd/>
        <w:ind w:firstLine="560"/>
        <w:outlineLvl w:val="9"/>
        <w:rPr>
          <w:rFonts w:eastAsia="宋体"/>
          <w:b w:val="0"/>
          <w:bCs w:val="0"/>
          <w:szCs w:val="22"/>
        </w:rPr>
      </w:pPr>
      <w:r>
        <w:rPr>
          <w:rFonts w:eastAsia="宋体"/>
          <w:b w:val="0"/>
          <w:bCs w:val="0"/>
          <w:color w:val="auto"/>
          <w:szCs w:val="32"/>
        </w:rPr>
        <w:t>依据</w:t>
      </w:r>
      <w:r w:rsidR="00D04327">
        <w:rPr>
          <w:rFonts w:eastAsia="宋体" w:hint="eastAsia"/>
          <w:b w:val="0"/>
          <w:bCs w:val="0"/>
          <w:color w:val="auto"/>
          <w:szCs w:val="32"/>
        </w:rPr>
        <w:t>中国农业机械化协会文件</w:t>
      </w:r>
      <w:r>
        <w:rPr>
          <w:rFonts w:eastAsia="宋体" w:hint="eastAsia"/>
          <w:b w:val="0"/>
          <w:bCs w:val="0"/>
          <w:color w:val="auto"/>
          <w:szCs w:val="32"/>
        </w:rPr>
        <w:t>《关于</w:t>
      </w:r>
      <w:r w:rsidR="00D04327">
        <w:rPr>
          <w:rFonts w:eastAsia="宋体" w:hint="eastAsia"/>
          <w:b w:val="0"/>
          <w:bCs w:val="0"/>
          <w:color w:val="auto"/>
          <w:szCs w:val="32"/>
        </w:rPr>
        <w:t>下达</w:t>
      </w:r>
      <w:r>
        <w:rPr>
          <w:rFonts w:eastAsia="宋体" w:hint="eastAsia"/>
          <w:b w:val="0"/>
          <w:bCs w:val="0"/>
          <w:color w:val="auto"/>
          <w:szCs w:val="32"/>
        </w:rPr>
        <w:t>2025</w:t>
      </w:r>
      <w:r>
        <w:rPr>
          <w:rFonts w:eastAsia="宋体" w:hint="eastAsia"/>
          <w:b w:val="0"/>
          <w:bCs w:val="0"/>
          <w:color w:val="auto"/>
          <w:szCs w:val="32"/>
        </w:rPr>
        <w:t>年</w:t>
      </w:r>
      <w:r w:rsidR="00D04327">
        <w:rPr>
          <w:rFonts w:eastAsia="宋体" w:hint="eastAsia"/>
          <w:b w:val="0"/>
          <w:bCs w:val="0"/>
          <w:color w:val="auto"/>
          <w:szCs w:val="32"/>
        </w:rPr>
        <w:t>中国农业机械化协会团体标准第二批立项项目</w:t>
      </w:r>
      <w:r>
        <w:rPr>
          <w:rFonts w:eastAsia="宋体" w:hint="eastAsia"/>
          <w:b w:val="0"/>
          <w:bCs w:val="0"/>
          <w:color w:val="auto"/>
          <w:szCs w:val="32"/>
        </w:rPr>
        <w:t>的通知》</w:t>
      </w:r>
      <w:r w:rsidR="00D04327">
        <w:rPr>
          <w:rFonts w:eastAsia="宋体" w:hint="eastAsia"/>
          <w:b w:val="0"/>
          <w:bCs w:val="0"/>
          <w:color w:val="auto"/>
          <w:szCs w:val="32"/>
        </w:rPr>
        <w:t>农机（协）</w:t>
      </w:r>
      <w:r w:rsidR="00D04327">
        <w:rPr>
          <w:rFonts w:eastAsia="宋体" w:hint="eastAsia"/>
          <w:b w:val="0"/>
          <w:bCs w:val="0"/>
          <w:color w:val="auto"/>
          <w:szCs w:val="32"/>
        </w:rPr>
        <w:t>[</w:t>
      </w:r>
      <w:r w:rsidR="00D04327">
        <w:rPr>
          <w:rFonts w:eastAsia="宋体"/>
          <w:b w:val="0"/>
          <w:bCs w:val="0"/>
          <w:color w:val="auto"/>
          <w:szCs w:val="32"/>
        </w:rPr>
        <w:t>2025] 30</w:t>
      </w:r>
      <w:r w:rsidR="00D04327">
        <w:rPr>
          <w:rFonts w:eastAsia="宋体" w:hint="eastAsia"/>
          <w:b w:val="0"/>
          <w:bCs w:val="0"/>
          <w:color w:val="auto"/>
          <w:szCs w:val="32"/>
        </w:rPr>
        <w:t>号</w:t>
      </w:r>
      <w:r>
        <w:rPr>
          <w:rFonts w:eastAsia="宋体"/>
          <w:b w:val="0"/>
          <w:bCs w:val="0"/>
          <w:color w:val="auto"/>
          <w:szCs w:val="32"/>
        </w:rPr>
        <w:t>，由农业农村部规划设计研究院承担</w:t>
      </w:r>
      <w:r>
        <w:rPr>
          <w:rFonts w:eastAsia="宋体"/>
          <w:b w:val="0"/>
          <w:bCs w:val="0"/>
          <w:color w:val="auto"/>
          <w:szCs w:val="32"/>
        </w:rPr>
        <w:t>“</w:t>
      </w:r>
      <w:bookmarkStart w:id="3" w:name="OLE_LINK1"/>
      <w:bookmarkStart w:id="4" w:name="OLE_LINK3"/>
      <w:r>
        <w:rPr>
          <w:rFonts w:eastAsia="宋体"/>
          <w:b w:val="0"/>
          <w:bCs w:val="0"/>
          <w:color w:val="auto"/>
          <w:szCs w:val="32"/>
        </w:rPr>
        <w:t>畜禽粪便就地覆膜堆肥技术规范</w:t>
      </w:r>
      <w:bookmarkEnd w:id="3"/>
      <w:bookmarkEnd w:id="4"/>
      <w:r>
        <w:rPr>
          <w:rFonts w:eastAsia="宋体"/>
          <w:b w:val="0"/>
          <w:bCs w:val="0"/>
          <w:color w:val="auto"/>
          <w:szCs w:val="32"/>
        </w:rPr>
        <w:t>”</w:t>
      </w:r>
      <w:r>
        <w:rPr>
          <w:rFonts w:eastAsia="宋体"/>
          <w:b w:val="0"/>
          <w:bCs w:val="0"/>
          <w:color w:val="auto"/>
          <w:szCs w:val="32"/>
        </w:rPr>
        <w:t>编制任务，本文件由中国农业机械化协会归口，标准起草首席专家为</w:t>
      </w:r>
      <w:r w:rsidR="00D04327" w:rsidRPr="00D04327">
        <w:rPr>
          <w:rFonts w:eastAsia="宋体" w:hint="eastAsia"/>
          <w:b w:val="0"/>
          <w:bCs w:val="0"/>
          <w:color w:val="auto"/>
          <w:szCs w:val="32"/>
          <w:highlight w:val="yellow"/>
        </w:rPr>
        <w:t>X</w:t>
      </w:r>
      <w:r w:rsidR="00D04327" w:rsidRPr="00D04327">
        <w:rPr>
          <w:rFonts w:eastAsia="宋体"/>
          <w:b w:val="0"/>
          <w:bCs w:val="0"/>
          <w:color w:val="auto"/>
          <w:szCs w:val="32"/>
          <w:highlight w:val="yellow"/>
        </w:rPr>
        <w:t>XX</w:t>
      </w:r>
      <w:r>
        <w:rPr>
          <w:rFonts w:eastAsia="宋体"/>
          <w:b w:val="0"/>
          <w:bCs w:val="0"/>
          <w:color w:val="auto"/>
          <w:szCs w:val="32"/>
        </w:rPr>
        <w:t>。</w:t>
      </w:r>
    </w:p>
    <w:p w:rsidR="0027074B" w:rsidRDefault="004B23C3">
      <w:pPr>
        <w:pStyle w:val="22"/>
        <w:ind w:firstLine="562"/>
      </w:pPr>
      <w:bookmarkStart w:id="5" w:name="_Toc203082615"/>
      <w:r>
        <w:t>（二）标准制定背景</w:t>
      </w:r>
      <w:bookmarkEnd w:id="5"/>
    </w:p>
    <w:p w:rsidR="0027074B" w:rsidRPr="004B23C3" w:rsidRDefault="004B23C3" w:rsidP="004B23C3">
      <w:pPr>
        <w:ind w:firstLine="560"/>
        <w:rPr>
          <w:rFonts w:eastAsia="宋体"/>
          <w:sz w:val="28"/>
          <w:szCs w:val="32"/>
        </w:rPr>
      </w:pPr>
      <w:r w:rsidRPr="004B23C3">
        <w:rPr>
          <w:rFonts w:eastAsia="宋体" w:hint="eastAsia"/>
          <w:sz w:val="28"/>
          <w:szCs w:val="32"/>
        </w:rPr>
        <w:t>随着我国畜牧业规模化、集约化发展进程持续加快，畜禽养殖规模化率稳步提升，</w:t>
      </w:r>
      <w:r w:rsidRPr="004B23C3">
        <w:rPr>
          <w:rFonts w:eastAsia="宋体" w:hint="eastAsia"/>
          <w:sz w:val="28"/>
          <w:szCs w:val="32"/>
        </w:rPr>
        <w:t xml:space="preserve">2024 </w:t>
      </w:r>
      <w:r w:rsidRPr="004B23C3">
        <w:rPr>
          <w:rFonts w:eastAsia="宋体" w:hint="eastAsia"/>
          <w:sz w:val="28"/>
          <w:szCs w:val="32"/>
        </w:rPr>
        <w:t>年全国畜禽养殖规模化率已达到</w:t>
      </w:r>
      <w:r w:rsidRPr="004B23C3">
        <w:rPr>
          <w:rFonts w:eastAsia="宋体" w:hint="eastAsia"/>
          <w:sz w:val="28"/>
          <w:szCs w:val="32"/>
        </w:rPr>
        <w:t xml:space="preserve"> 73%</w:t>
      </w:r>
      <w:r w:rsidRPr="004B23C3">
        <w:rPr>
          <w:rFonts w:eastAsia="宋体" w:hint="eastAsia"/>
          <w:sz w:val="28"/>
          <w:szCs w:val="32"/>
        </w:rPr>
        <w:t>，较</w:t>
      </w:r>
      <w:r w:rsidRPr="004B23C3">
        <w:rPr>
          <w:rFonts w:eastAsia="宋体" w:hint="eastAsia"/>
          <w:sz w:val="28"/>
          <w:szCs w:val="32"/>
        </w:rPr>
        <w:t xml:space="preserve"> 2020 </w:t>
      </w:r>
      <w:proofErr w:type="gramStart"/>
      <w:r w:rsidRPr="004B23C3">
        <w:rPr>
          <w:rFonts w:eastAsia="宋体" w:hint="eastAsia"/>
          <w:sz w:val="28"/>
          <w:szCs w:val="32"/>
        </w:rPr>
        <w:t>年提高</w:t>
      </w:r>
      <w:proofErr w:type="gramEnd"/>
      <w:r w:rsidRPr="004B23C3">
        <w:rPr>
          <w:rFonts w:eastAsia="宋体" w:hint="eastAsia"/>
          <w:sz w:val="28"/>
          <w:szCs w:val="32"/>
        </w:rPr>
        <w:t xml:space="preserve"> 6.5 </w:t>
      </w:r>
      <w:proofErr w:type="gramStart"/>
      <w:r w:rsidRPr="004B23C3">
        <w:rPr>
          <w:rFonts w:eastAsia="宋体" w:hint="eastAsia"/>
          <w:sz w:val="28"/>
          <w:szCs w:val="32"/>
        </w:rPr>
        <w:t>个</w:t>
      </w:r>
      <w:proofErr w:type="gramEnd"/>
      <w:r w:rsidRPr="004B23C3">
        <w:rPr>
          <w:rFonts w:eastAsia="宋体" w:hint="eastAsia"/>
          <w:sz w:val="28"/>
          <w:szCs w:val="32"/>
        </w:rPr>
        <w:t>百分点，畜禽粪</w:t>
      </w:r>
      <w:proofErr w:type="gramStart"/>
      <w:r w:rsidRPr="004B23C3">
        <w:rPr>
          <w:rFonts w:eastAsia="宋体" w:hint="eastAsia"/>
          <w:sz w:val="28"/>
          <w:szCs w:val="32"/>
        </w:rPr>
        <w:t>污产生</w:t>
      </w:r>
      <w:proofErr w:type="gramEnd"/>
      <w:r w:rsidRPr="004B23C3">
        <w:rPr>
          <w:rFonts w:eastAsia="宋体" w:hint="eastAsia"/>
          <w:sz w:val="28"/>
          <w:szCs w:val="32"/>
        </w:rPr>
        <w:t>量也随之持续增长，当前全国畜禽</w:t>
      </w:r>
      <w:proofErr w:type="gramStart"/>
      <w:r w:rsidRPr="004B23C3">
        <w:rPr>
          <w:rFonts w:eastAsia="宋体" w:hint="eastAsia"/>
          <w:sz w:val="28"/>
          <w:szCs w:val="32"/>
        </w:rPr>
        <w:t>粪污年产生</w:t>
      </w:r>
      <w:proofErr w:type="gramEnd"/>
      <w:r w:rsidRPr="004B23C3">
        <w:rPr>
          <w:rFonts w:eastAsia="宋体" w:hint="eastAsia"/>
          <w:sz w:val="28"/>
          <w:szCs w:val="32"/>
        </w:rPr>
        <w:t>量已突破</w:t>
      </w:r>
      <w:r w:rsidRPr="004B23C3">
        <w:rPr>
          <w:rFonts w:eastAsia="宋体" w:hint="eastAsia"/>
          <w:sz w:val="28"/>
          <w:szCs w:val="32"/>
        </w:rPr>
        <w:t xml:space="preserve"> 38 </w:t>
      </w:r>
      <w:r w:rsidRPr="004B23C3">
        <w:rPr>
          <w:rFonts w:eastAsia="宋体" w:hint="eastAsia"/>
          <w:sz w:val="28"/>
          <w:szCs w:val="32"/>
        </w:rPr>
        <w:t>亿吨，畜禽养殖污染已成为农业面源污染的主要来源之一，污染防治与资源化利用形势依然严峻。</w:t>
      </w:r>
    </w:p>
    <w:p w:rsidR="004B23C3" w:rsidRPr="004B23C3" w:rsidRDefault="004B23C3" w:rsidP="004B23C3">
      <w:pPr>
        <w:ind w:firstLine="560"/>
        <w:rPr>
          <w:rFonts w:eastAsia="宋体"/>
          <w:sz w:val="28"/>
          <w:szCs w:val="32"/>
        </w:rPr>
      </w:pPr>
      <w:r w:rsidRPr="004B23C3">
        <w:rPr>
          <w:rFonts w:eastAsia="宋体" w:hint="eastAsia"/>
          <w:sz w:val="28"/>
          <w:szCs w:val="32"/>
        </w:rPr>
        <w:t>近年来，国家持续强化畜禽粪污资源化利用的顶层设计与法治约束，新修订的《中华人民共和国畜牧法》</w:t>
      </w:r>
      <w:r>
        <w:rPr>
          <w:rFonts w:eastAsia="宋体" w:hint="eastAsia"/>
          <w:sz w:val="28"/>
          <w:szCs w:val="32"/>
        </w:rPr>
        <w:t>等</w:t>
      </w:r>
      <w:r w:rsidRPr="004B23C3">
        <w:rPr>
          <w:rFonts w:eastAsia="宋体" w:hint="eastAsia"/>
          <w:sz w:val="28"/>
          <w:szCs w:val="32"/>
        </w:rPr>
        <w:t>进一步明确了畜禽粪污无害化处理与资源化利用的法定要求。</w:t>
      </w:r>
      <w:r w:rsidRPr="004B23C3">
        <w:rPr>
          <w:rFonts w:eastAsia="宋体" w:hint="eastAsia"/>
          <w:sz w:val="28"/>
          <w:szCs w:val="32"/>
        </w:rPr>
        <w:t xml:space="preserve">2020 </w:t>
      </w:r>
      <w:r w:rsidRPr="004B23C3">
        <w:rPr>
          <w:rFonts w:eastAsia="宋体" w:hint="eastAsia"/>
          <w:sz w:val="28"/>
          <w:szCs w:val="32"/>
        </w:rPr>
        <w:t>年国务院办公厅印发《关于促进畜牧业高质量发展的意见》（国办发〔</w:t>
      </w:r>
      <w:r w:rsidRPr="004B23C3">
        <w:rPr>
          <w:rFonts w:eastAsia="宋体" w:hint="eastAsia"/>
          <w:sz w:val="28"/>
          <w:szCs w:val="32"/>
        </w:rPr>
        <w:t>2020</w:t>
      </w:r>
      <w:r w:rsidRPr="004B23C3">
        <w:rPr>
          <w:rFonts w:eastAsia="宋体" w:hint="eastAsia"/>
          <w:sz w:val="28"/>
          <w:szCs w:val="32"/>
        </w:rPr>
        <w:t>〕</w:t>
      </w:r>
      <w:r>
        <w:rPr>
          <w:rFonts w:eastAsia="宋体" w:hint="eastAsia"/>
          <w:sz w:val="28"/>
          <w:szCs w:val="32"/>
        </w:rPr>
        <w:t>31</w:t>
      </w:r>
      <w:r w:rsidRPr="004B23C3">
        <w:rPr>
          <w:rFonts w:eastAsia="宋体" w:hint="eastAsia"/>
          <w:sz w:val="28"/>
          <w:szCs w:val="32"/>
        </w:rPr>
        <w:t>号），明确到</w:t>
      </w:r>
      <w:r w:rsidRPr="004B23C3">
        <w:rPr>
          <w:rFonts w:eastAsia="宋体" w:hint="eastAsia"/>
          <w:sz w:val="28"/>
          <w:szCs w:val="32"/>
        </w:rPr>
        <w:t xml:space="preserve"> 2025 </w:t>
      </w:r>
      <w:r w:rsidRPr="004B23C3">
        <w:rPr>
          <w:rFonts w:eastAsia="宋体" w:hint="eastAsia"/>
          <w:sz w:val="28"/>
          <w:szCs w:val="32"/>
        </w:rPr>
        <w:t>年全国畜禽粪污综合利用率达到</w:t>
      </w:r>
      <w:r w:rsidRPr="004B23C3">
        <w:rPr>
          <w:rFonts w:eastAsia="宋体" w:hint="eastAsia"/>
          <w:sz w:val="28"/>
          <w:szCs w:val="32"/>
        </w:rPr>
        <w:t xml:space="preserve"> 80% </w:t>
      </w:r>
      <w:r w:rsidRPr="004B23C3">
        <w:rPr>
          <w:rFonts w:eastAsia="宋体" w:hint="eastAsia"/>
          <w:sz w:val="28"/>
          <w:szCs w:val="32"/>
        </w:rPr>
        <w:t>以上，</w:t>
      </w:r>
      <w:r w:rsidRPr="004B23C3">
        <w:rPr>
          <w:rFonts w:eastAsia="宋体" w:hint="eastAsia"/>
          <w:sz w:val="28"/>
          <w:szCs w:val="32"/>
        </w:rPr>
        <w:t xml:space="preserve">2030 </w:t>
      </w:r>
      <w:r w:rsidRPr="004B23C3">
        <w:rPr>
          <w:rFonts w:eastAsia="宋体" w:hint="eastAsia"/>
          <w:sz w:val="28"/>
          <w:szCs w:val="32"/>
        </w:rPr>
        <w:t>年达到</w:t>
      </w:r>
      <w:r w:rsidRPr="004B23C3">
        <w:rPr>
          <w:rFonts w:eastAsia="宋体" w:hint="eastAsia"/>
          <w:sz w:val="28"/>
          <w:szCs w:val="32"/>
        </w:rPr>
        <w:t xml:space="preserve"> 85% </w:t>
      </w:r>
      <w:r w:rsidRPr="004B23C3">
        <w:rPr>
          <w:rFonts w:eastAsia="宋体" w:hint="eastAsia"/>
          <w:sz w:val="28"/>
          <w:szCs w:val="32"/>
        </w:rPr>
        <w:t>以上的阶段性与长远性目标。</w:t>
      </w:r>
      <w:r w:rsidRPr="004B23C3">
        <w:rPr>
          <w:rFonts w:eastAsia="宋体" w:hint="eastAsia"/>
          <w:sz w:val="28"/>
          <w:szCs w:val="32"/>
        </w:rPr>
        <w:t xml:space="preserve">2023 </w:t>
      </w:r>
      <w:r w:rsidRPr="004B23C3">
        <w:rPr>
          <w:rFonts w:eastAsia="宋体" w:hint="eastAsia"/>
          <w:sz w:val="28"/>
          <w:szCs w:val="32"/>
        </w:rPr>
        <w:t>年国家标准委、农业农村部、生态环境部联合印发《关于推进畜禽粪污资源化利用标准体系建设的指导意见》，首次系统构建了覆盖收集、处理、利用、</w:t>
      </w:r>
      <w:proofErr w:type="gramStart"/>
      <w:r w:rsidRPr="004B23C3">
        <w:rPr>
          <w:rFonts w:eastAsia="宋体" w:hint="eastAsia"/>
          <w:sz w:val="28"/>
          <w:szCs w:val="32"/>
        </w:rPr>
        <w:t>检测全</w:t>
      </w:r>
      <w:proofErr w:type="gramEnd"/>
      <w:r w:rsidRPr="004B23C3">
        <w:rPr>
          <w:rFonts w:eastAsia="宋体" w:hint="eastAsia"/>
          <w:sz w:val="28"/>
          <w:szCs w:val="32"/>
        </w:rPr>
        <w:t>链条的畜禽粪污资源化利用标准体系，明确了无害化处理领域技术规范标准制修订的重点方向。</w:t>
      </w:r>
      <w:r w:rsidRPr="004B23C3">
        <w:rPr>
          <w:rFonts w:eastAsia="宋体" w:hint="eastAsia"/>
          <w:sz w:val="28"/>
          <w:szCs w:val="32"/>
        </w:rPr>
        <w:t xml:space="preserve">2024 </w:t>
      </w:r>
      <w:r w:rsidRPr="004B23C3">
        <w:rPr>
          <w:rFonts w:eastAsia="宋体" w:hint="eastAsia"/>
          <w:sz w:val="28"/>
          <w:szCs w:val="32"/>
        </w:rPr>
        <w:t>年国务院办公厅印发《关于加快构建废弃物循环利用体系的意见》、农业农村部印发《关于加快农业发展全面绿</w:t>
      </w:r>
      <w:r w:rsidRPr="004B23C3">
        <w:rPr>
          <w:rFonts w:eastAsia="宋体" w:hint="eastAsia"/>
          <w:sz w:val="28"/>
          <w:szCs w:val="32"/>
        </w:rPr>
        <w:lastRenderedPageBreak/>
        <w:t>色转型促进乡村生态振兴的指导意见》，持续对畜禽粪污就地就近处理、资源化利用提质增效和标准体系完善</w:t>
      </w:r>
      <w:proofErr w:type="gramStart"/>
      <w:r w:rsidRPr="004B23C3">
        <w:rPr>
          <w:rFonts w:eastAsia="宋体" w:hint="eastAsia"/>
          <w:sz w:val="28"/>
          <w:szCs w:val="32"/>
        </w:rPr>
        <w:t>作出</w:t>
      </w:r>
      <w:proofErr w:type="gramEnd"/>
      <w:r w:rsidRPr="004B23C3">
        <w:rPr>
          <w:rFonts w:eastAsia="宋体" w:hint="eastAsia"/>
          <w:sz w:val="28"/>
          <w:szCs w:val="32"/>
        </w:rPr>
        <w:t>系统部署。截至目前，国家已累计安排中央投资</w:t>
      </w:r>
      <w:r w:rsidRPr="004B23C3">
        <w:rPr>
          <w:rFonts w:eastAsia="宋体" w:hint="eastAsia"/>
          <w:sz w:val="28"/>
          <w:szCs w:val="32"/>
        </w:rPr>
        <w:t xml:space="preserve"> 118.02 </w:t>
      </w:r>
      <w:r w:rsidRPr="004B23C3">
        <w:rPr>
          <w:rFonts w:eastAsia="宋体" w:hint="eastAsia"/>
          <w:sz w:val="28"/>
          <w:szCs w:val="32"/>
        </w:rPr>
        <w:t>亿元，支持</w:t>
      </w:r>
      <w:r w:rsidRPr="004B23C3">
        <w:rPr>
          <w:rFonts w:eastAsia="宋体" w:hint="eastAsia"/>
          <w:sz w:val="28"/>
          <w:szCs w:val="32"/>
        </w:rPr>
        <w:t xml:space="preserve"> 337 </w:t>
      </w:r>
      <w:proofErr w:type="gramStart"/>
      <w:r w:rsidRPr="004B23C3">
        <w:rPr>
          <w:rFonts w:eastAsia="宋体" w:hint="eastAsia"/>
          <w:sz w:val="28"/>
          <w:szCs w:val="32"/>
        </w:rPr>
        <w:t>个</w:t>
      </w:r>
      <w:proofErr w:type="gramEnd"/>
      <w:r w:rsidRPr="004B23C3">
        <w:rPr>
          <w:rFonts w:eastAsia="宋体" w:hint="eastAsia"/>
          <w:sz w:val="28"/>
          <w:szCs w:val="32"/>
        </w:rPr>
        <w:t>县（农场）开展绿色种养循环农业试点，推动全国畜禽粪污综合利用率提升至</w:t>
      </w:r>
      <w:r w:rsidRPr="004B23C3">
        <w:rPr>
          <w:rFonts w:eastAsia="宋体" w:hint="eastAsia"/>
          <w:sz w:val="28"/>
          <w:szCs w:val="32"/>
        </w:rPr>
        <w:t xml:space="preserve"> 79.4%</w:t>
      </w:r>
      <w:r w:rsidRPr="004B23C3">
        <w:rPr>
          <w:rFonts w:eastAsia="宋体" w:hint="eastAsia"/>
          <w:sz w:val="28"/>
          <w:szCs w:val="32"/>
        </w:rPr>
        <w:t>，已接近“十四五”规划目标，但距离</w:t>
      </w:r>
      <w:r w:rsidRPr="004B23C3">
        <w:rPr>
          <w:rFonts w:eastAsia="宋体" w:hint="eastAsia"/>
          <w:sz w:val="28"/>
          <w:szCs w:val="32"/>
        </w:rPr>
        <w:t xml:space="preserve"> 2030 </w:t>
      </w:r>
      <w:r w:rsidRPr="004B23C3">
        <w:rPr>
          <w:rFonts w:eastAsia="宋体" w:hint="eastAsia"/>
          <w:sz w:val="28"/>
          <w:szCs w:val="32"/>
        </w:rPr>
        <w:t>年</w:t>
      </w:r>
      <w:r w:rsidRPr="004B23C3">
        <w:rPr>
          <w:rFonts w:eastAsia="宋体" w:hint="eastAsia"/>
          <w:sz w:val="28"/>
          <w:szCs w:val="32"/>
        </w:rPr>
        <w:t xml:space="preserve"> 85% </w:t>
      </w:r>
      <w:r w:rsidRPr="004B23C3">
        <w:rPr>
          <w:rFonts w:eastAsia="宋体" w:hint="eastAsia"/>
          <w:sz w:val="28"/>
          <w:szCs w:val="32"/>
        </w:rPr>
        <w:t>以上的长远目标仍有差距，</w:t>
      </w:r>
      <w:proofErr w:type="gramStart"/>
      <w:r w:rsidRPr="004B23C3">
        <w:rPr>
          <w:rFonts w:eastAsia="宋体" w:hint="eastAsia"/>
          <w:sz w:val="28"/>
          <w:szCs w:val="32"/>
        </w:rPr>
        <w:t>且区域</w:t>
      </w:r>
      <w:proofErr w:type="gramEnd"/>
      <w:r w:rsidRPr="004B23C3">
        <w:rPr>
          <w:rFonts w:eastAsia="宋体" w:hint="eastAsia"/>
          <w:sz w:val="28"/>
          <w:szCs w:val="32"/>
        </w:rPr>
        <w:t>间、不同规模养殖主体间处理水平不均衡问题突出，源头处理环节的技术标准化短板依然显著</w:t>
      </w:r>
      <w:r>
        <w:rPr>
          <w:rFonts w:eastAsia="宋体" w:hint="eastAsia"/>
          <w:sz w:val="28"/>
          <w:szCs w:val="32"/>
        </w:rPr>
        <w:t>。</w:t>
      </w:r>
    </w:p>
    <w:p w:rsidR="0027074B" w:rsidRPr="008939FE" w:rsidRDefault="004B23C3" w:rsidP="008939FE">
      <w:pPr>
        <w:ind w:firstLine="560"/>
        <w:rPr>
          <w:rFonts w:eastAsia="宋体"/>
          <w:sz w:val="28"/>
          <w:szCs w:val="32"/>
        </w:rPr>
      </w:pPr>
      <w:r w:rsidRPr="004B23C3">
        <w:rPr>
          <w:rFonts w:eastAsia="宋体" w:hint="eastAsia"/>
          <w:sz w:val="28"/>
          <w:szCs w:val="32"/>
        </w:rPr>
        <w:t>堆肥处理因技术门槛低、操作简便、运行成本适中、场地适配性强，是当前我国畜禽粪便无害化处理和肥料化利用的主流技术，其中覆膜堆肥技术凭借臭气管</w:t>
      </w:r>
      <w:proofErr w:type="gramStart"/>
      <w:r w:rsidRPr="004B23C3">
        <w:rPr>
          <w:rFonts w:eastAsia="宋体" w:hint="eastAsia"/>
          <w:sz w:val="28"/>
          <w:szCs w:val="32"/>
        </w:rPr>
        <w:t>控效果</w:t>
      </w:r>
      <w:proofErr w:type="gramEnd"/>
      <w:r w:rsidRPr="004B23C3">
        <w:rPr>
          <w:rFonts w:eastAsia="宋体" w:hint="eastAsia"/>
          <w:sz w:val="28"/>
          <w:szCs w:val="32"/>
        </w:rPr>
        <w:t>好、发酵效率高、受地域和季节限制小</w:t>
      </w:r>
      <w:r w:rsidR="008939FE">
        <w:rPr>
          <w:rFonts w:eastAsia="宋体" w:hint="eastAsia"/>
          <w:sz w:val="28"/>
          <w:szCs w:val="32"/>
        </w:rPr>
        <w:t>等优势，应用场景持续拓展。农业农村部已</w:t>
      </w:r>
      <w:r w:rsidRPr="004B23C3">
        <w:rPr>
          <w:rFonts w:eastAsia="宋体" w:hint="eastAsia"/>
          <w:sz w:val="28"/>
          <w:szCs w:val="32"/>
        </w:rPr>
        <w:t>发布《畜禽粪便堆肥技术规范》（</w:t>
      </w:r>
      <w:r w:rsidRPr="004B23C3">
        <w:rPr>
          <w:rFonts w:eastAsia="宋体" w:hint="eastAsia"/>
          <w:sz w:val="28"/>
          <w:szCs w:val="32"/>
        </w:rPr>
        <w:t>NY/T 3442-2019</w:t>
      </w:r>
      <w:r w:rsidRPr="004B23C3">
        <w:rPr>
          <w:rFonts w:eastAsia="宋体" w:hint="eastAsia"/>
          <w:sz w:val="28"/>
          <w:szCs w:val="32"/>
        </w:rPr>
        <w:t>）等行业标准，有效规范了规模化养殖场、集中处理中心的工厂化覆膜好氧发酵与堆肥全工艺流程。但从我国养殖主体结构来看，全国现有畜禽养殖</w:t>
      </w:r>
      <w:proofErr w:type="gramStart"/>
      <w:r w:rsidRPr="004B23C3">
        <w:rPr>
          <w:rFonts w:eastAsia="宋体" w:hint="eastAsia"/>
          <w:sz w:val="28"/>
          <w:szCs w:val="32"/>
        </w:rPr>
        <w:t>主体超</w:t>
      </w:r>
      <w:proofErr w:type="gramEnd"/>
      <w:r w:rsidRPr="004B23C3">
        <w:rPr>
          <w:rFonts w:eastAsia="宋体" w:hint="eastAsia"/>
          <w:sz w:val="28"/>
          <w:szCs w:val="32"/>
        </w:rPr>
        <w:t xml:space="preserve"> 6500 </w:t>
      </w:r>
      <w:r w:rsidRPr="004B23C3">
        <w:rPr>
          <w:rFonts w:eastAsia="宋体" w:hint="eastAsia"/>
          <w:sz w:val="28"/>
          <w:szCs w:val="32"/>
        </w:rPr>
        <w:t>万个，其中规模以下养殖场（户）占比超</w:t>
      </w:r>
      <w:r w:rsidRPr="004B23C3">
        <w:rPr>
          <w:rFonts w:eastAsia="宋体" w:hint="eastAsia"/>
          <w:sz w:val="28"/>
          <w:szCs w:val="32"/>
        </w:rPr>
        <w:t xml:space="preserve"> 98%</w:t>
      </w:r>
      <w:r w:rsidRPr="004B23C3">
        <w:rPr>
          <w:rFonts w:eastAsia="宋体" w:hint="eastAsia"/>
          <w:sz w:val="28"/>
          <w:szCs w:val="32"/>
        </w:rPr>
        <w:t>，中小规模畜禽养殖场（户）是我国畜禽养殖业稳产保供的中坚力量，贡献了全国</w:t>
      </w:r>
      <w:r w:rsidRPr="004B23C3">
        <w:rPr>
          <w:rFonts w:eastAsia="宋体" w:hint="eastAsia"/>
          <w:sz w:val="28"/>
          <w:szCs w:val="32"/>
        </w:rPr>
        <w:t xml:space="preserve"> 32% </w:t>
      </w:r>
      <w:r w:rsidRPr="004B23C3">
        <w:rPr>
          <w:rFonts w:eastAsia="宋体" w:hint="eastAsia"/>
          <w:sz w:val="28"/>
          <w:szCs w:val="32"/>
        </w:rPr>
        <w:t>的生猪、</w:t>
      </w:r>
      <w:r w:rsidRPr="004B23C3">
        <w:rPr>
          <w:rFonts w:eastAsia="宋体" w:hint="eastAsia"/>
          <w:sz w:val="28"/>
          <w:szCs w:val="32"/>
        </w:rPr>
        <w:t xml:space="preserve">63% </w:t>
      </w:r>
      <w:r w:rsidRPr="004B23C3">
        <w:rPr>
          <w:rFonts w:eastAsia="宋体" w:hint="eastAsia"/>
          <w:sz w:val="28"/>
          <w:szCs w:val="32"/>
        </w:rPr>
        <w:t>的肉牛、</w:t>
      </w:r>
      <w:r w:rsidRPr="004B23C3">
        <w:rPr>
          <w:rFonts w:eastAsia="宋体" w:hint="eastAsia"/>
          <w:sz w:val="28"/>
          <w:szCs w:val="32"/>
        </w:rPr>
        <w:t xml:space="preserve">51% </w:t>
      </w:r>
      <w:r w:rsidRPr="004B23C3">
        <w:rPr>
          <w:rFonts w:eastAsia="宋体" w:hint="eastAsia"/>
          <w:sz w:val="28"/>
          <w:szCs w:val="32"/>
        </w:rPr>
        <w:t>的羊肉等核心畜禽产品产能。受资金投入、场地条件、技术水平、配套设施等因素限制，中小型养殖场（户）普遍采用低成本、简易化的就地覆膜堆肥技术处理畜禽粪便，该模式无需复杂厂房与自动化配套设备，高度适配中小养殖主体就地消纳、就近还田的粪</w:t>
      </w:r>
      <w:proofErr w:type="gramStart"/>
      <w:r w:rsidRPr="004B23C3">
        <w:rPr>
          <w:rFonts w:eastAsia="宋体" w:hint="eastAsia"/>
          <w:sz w:val="28"/>
          <w:szCs w:val="32"/>
        </w:rPr>
        <w:t>污利用</w:t>
      </w:r>
      <w:proofErr w:type="gramEnd"/>
      <w:r w:rsidRPr="004B23C3">
        <w:rPr>
          <w:rFonts w:eastAsia="宋体" w:hint="eastAsia"/>
          <w:sz w:val="28"/>
          <w:szCs w:val="32"/>
        </w:rPr>
        <w:t>需求，是当前我国中小规模养殖主体粪污处理的核心模式。然而，当前已发布的行业标准多针对工厂化、规模化</w:t>
      </w:r>
      <w:r w:rsidR="008939FE">
        <w:rPr>
          <w:rFonts w:eastAsia="宋体" w:hint="eastAsia"/>
          <w:sz w:val="28"/>
          <w:szCs w:val="32"/>
        </w:rPr>
        <w:t>好氧堆肥</w:t>
      </w:r>
      <w:r w:rsidRPr="004B23C3">
        <w:rPr>
          <w:rFonts w:eastAsia="宋体" w:hint="eastAsia"/>
          <w:sz w:val="28"/>
          <w:szCs w:val="32"/>
        </w:rPr>
        <w:t>工艺设定技术参数与管理要求，与中小养殖场（户）就地简易覆膜堆肥的生产实际适配性不足，导致该领域长期存在技术支撑薄弱、标准化体系缺失的突出问题。</w:t>
      </w:r>
      <w:r w:rsidRPr="008939FE">
        <w:rPr>
          <w:rFonts w:eastAsia="宋体"/>
          <w:sz w:val="28"/>
          <w:szCs w:val="32"/>
        </w:rPr>
        <w:t>因此，亟需针对中小规模养殖场（户）就地处理利用的实际</w:t>
      </w:r>
      <w:r w:rsidR="008939FE">
        <w:rPr>
          <w:rFonts w:eastAsia="宋体" w:hint="eastAsia"/>
          <w:sz w:val="28"/>
          <w:szCs w:val="32"/>
        </w:rPr>
        <w:t>需求</w:t>
      </w:r>
      <w:r w:rsidRPr="008939FE">
        <w:rPr>
          <w:rFonts w:eastAsia="宋体"/>
          <w:sz w:val="28"/>
          <w:szCs w:val="32"/>
        </w:rPr>
        <w:t>，结</w:t>
      </w:r>
      <w:r w:rsidRPr="008939FE">
        <w:rPr>
          <w:rFonts w:eastAsia="宋体"/>
          <w:sz w:val="28"/>
          <w:szCs w:val="32"/>
        </w:rPr>
        <w:lastRenderedPageBreak/>
        <w:t>合国际和国内的研究成果和生产经验，制定较为系统全面的畜禽粪便就地覆膜堆肥技术规范。</w:t>
      </w:r>
      <w:r w:rsidR="008939FE">
        <w:rPr>
          <w:rFonts w:eastAsia="宋体" w:hint="eastAsia"/>
          <w:sz w:val="28"/>
          <w:szCs w:val="32"/>
        </w:rPr>
        <w:t>该文件</w:t>
      </w:r>
      <w:r w:rsidRPr="008939FE">
        <w:rPr>
          <w:rFonts w:eastAsia="宋体"/>
          <w:sz w:val="28"/>
          <w:szCs w:val="32"/>
        </w:rPr>
        <w:t>的制定能够有力规范和保障中小型规模养殖场畜禽粪便的无害化处理，促进畜禽粪便的绿色低碳处理和资源化利用，对推动我国农业绿色高质量发展具有重要意义。</w:t>
      </w:r>
    </w:p>
    <w:p w:rsidR="0027074B" w:rsidRDefault="004B23C3">
      <w:pPr>
        <w:pStyle w:val="22"/>
        <w:spacing w:before="156" w:after="156"/>
        <w:ind w:firstLine="562"/>
      </w:pPr>
      <w:bookmarkStart w:id="6" w:name="_Toc203082616"/>
      <w:r>
        <w:t>（三）标准起草组成员</w:t>
      </w:r>
      <w:bookmarkEnd w:id="6"/>
    </w:p>
    <w:p w:rsidR="0027074B" w:rsidRDefault="004B23C3">
      <w:pPr>
        <w:pStyle w:val="13"/>
        <w:adjustRightInd/>
        <w:ind w:firstLine="560"/>
        <w:rPr>
          <w:color w:val="auto"/>
          <w:szCs w:val="32"/>
        </w:rPr>
      </w:pPr>
      <w:r>
        <w:rPr>
          <w:color w:val="auto"/>
          <w:szCs w:val="32"/>
        </w:rPr>
        <w:t>202</w:t>
      </w:r>
      <w:r w:rsidR="008939FE">
        <w:rPr>
          <w:color w:val="auto"/>
          <w:szCs w:val="32"/>
        </w:rPr>
        <w:t>5</w:t>
      </w:r>
      <w:r>
        <w:rPr>
          <w:color w:val="auto"/>
          <w:szCs w:val="32"/>
        </w:rPr>
        <w:t>年</w:t>
      </w:r>
      <w:r w:rsidR="008939FE">
        <w:rPr>
          <w:color w:val="auto"/>
          <w:szCs w:val="32"/>
        </w:rPr>
        <w:t>10</w:t>
      </w:r>
      <w:r>
        <w:rPr>
          <w:color w:val="auto"/>
          <w:szCs w:val="32"/>
        </w:rPr>
        <w:t>月，由</w:t>
      </w:r>
      <w:r>
        <w:t>农业农村部规划设计研究院、北京市农林科学院、黑龙江省农业科学院、中国科学院地理科学与资源研究所</w:t>
      </w:r>
      <w:r>
        <w:rPr>
          <w:color w:val="auto"/>
          <w:szCs w:val="32"/>
        </w:rPr>
        <w:t>组织专家，成立标准起草组，制定工作计划，落实人员与分工，要求编制组成员着手收集整理畜禽粪便覆膜堆肥案例和试验数据，追踪国内外相关标准、文献，并对我国实际畜禽粪覆膜堆肥技术开展调研。起草小组成员如表</w:t>
      </w:r>
      <w:r>
        <w:rPr>
          <w:color w:val="auto"/>
          <w:szCs w:val="32"/>
        </w:rPr>
        <w:t>1</w:t>
      </w:r>
      <w:r>
        <w:rPr>
          <w:color w:val="auto"/>
          <w:szCs w:val="32"/>
        </w:rPr>
        <w:t>所示。</w:t>
      </w:r>
    </w:p>
    <w:p w:rsidR="0027074B" w:rsidRDefault="004B23C3">
      <w:pPr>
        <w:pStyle w:val="af6"/>
      </w:pPr>
      <w:r>
        <w:t>表</w:t>
      </w:r>
      <w:r>
        <w:t xml:space="preserve">1 </w:t>
      </w:r>
      <w:r>
        <w:t>起草小组人员信息</w:t>
      </w:r>
    </w:p>
    <w:tbl>
      <w:tblPr>
        <w:tblW w:w="8359" w:type="dxa"/>
        <w:jc w:val="center"/>
        <w:tblLook w:val="04A0" w:firstRow="1" w:lastRow="0" w:firstColumn="1" w:lastColumn="0" w:noHBand="0" w:noVBand="1"/>
      </w:tblPr>
      <w:tblGrid>
        <w:gridCol w:w="704"/>
        <w:gridCol w:w="992"/>
        <w:gridCol w:w="2552"/>
        <w:gridCol w:w="1701"/>
        <w:gridCol w:w="2410"/>
      </w:tblGrid>
      <w:tr w:rsidR="0027074B">
        <w:trPr>
          <w:trHeight w:val="265"/>
          <w:tblHeader/>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widowControl/>
              <w:spacing w:line="240" w:lineRule="auto"/>
              <w:ind w:firstLineChars="0" w:firstLine="0"/>
              <w:jc w:val="center"/>
              <w:textAlignment w:val="center"/>
              <w:rPr>
                <w:rFonts w:eastAsia="宋体"/>
                <w:b/>
                <w:bCs/>
                <w:color w:val="000000"/>
                <w:szCs w:val="24"/>
              </w:rPr>
            </w:pPr>
            <w:r>
              <w:rPr>
                <w:rFonts w:eastAsia="宋体"/>
                <w:b/>
                <w:bCs/>
                <w:color w:val="000000"/>
                <w:szCs w:val="24"/>
              </w:rPr>
              <w:t>序号</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widowControl/>
              <w:spacing w:line="240" w:lineRule="auto"/>
              <w:ind w:firstLineChars="0" w:firstLine="0"/>
              <w:jc w:val="center"/>
              <w:textAlignment w:val="center"/>
              <w:rPr>
                <w:rFonts w:eastAsia="宋体"/>
                <w:b/>
                <w:bCs/>
                <w:color w:val="000000"/>
                <w:szCs w:val="24"/>
              </w:rPr>
            </w:pPr>
            <w:r>
              <w:rPr>
                <w:rFonts w:eastAsia="宋体"/>
                <w:b/>
                <w:bCs/>
                <w:color w:val="000000"/>
                <w:szCs w:val="24"/>
              </w:rPr>
              <w:t>姓名</w:t>
            </w: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widowControl/>
              <w:spacing w:line="240" w:lineRule="auto"/>
              <w:ind w:firstLineChars="0" w:firstLine="0"/>
              <w:jc w:val="center"/>
              <w:textAlignment w:val="center"/>
              <w:rPr>
                <w:rFonts w:eastAsia="宋体"/>
                <w:b/>
                <w:bCs/>
                <w:color w:val="000000"/>
                <w:szCs w:val="24"/>
              </w:rPr>
            </w:pPr>
            <w:r>
              <w:rPr>
                <w:rFonts w:eastAsia="宋体"/>
                <w:b/>
                <w:bCs/>
                <w:color w:val="000000"/>
                <w:szCs w:val="24"/>
              </w:rPr>
              <w:t>工作单位</w:t>
            </w: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widowControl/>
              <w:spacing w:line="240" w:lineRule="auto"/>
              <w:ind w:firstLineChars="0" w:firstLine="0"/>
              <w:jc w:val="center"/>
              <w:textAlignment w:val="center"/>
              <w:rPr>
                <w:rFonts w:eastAsia="宋体"/>
                <w:b/>
                <w:bCs/>
                <w:color w:val="000000"/>
                <w:szCs w:val="24"/>
              </w:rPr>
            </w:pPr>
            <w:r>
              <w:rPr>
                <w:rFonts w:eastAsia="宋体"/>
                <w:b/>
                <w:bCs/>
                <w:color w:val="000000"/>
                <w:szCs w:val="24"/>
              </w:rPr>
              <w:t>职务</w:t>
            </w:r>
            <w:r>
              <w:rPr>
                <w:rFonts w:eastAsia="宋体"/>
                <w:b/>
                <w:bCs/>
                <w:color w:val="000000"/>
                <w:szCs w:val="24"/>
              </w:rPr>
              <w:t>/</w:t>
            </w:r>
            <w:r>
              <w:rPr>
                <w:rFonts w:eastAsia="宋体"/>
                <w:b/>
                <w:bCs/>
                <w:color w:val="000000"/>
                <w:szCs w:val="24"/>
              </w:rPr>
              <w:t>职称</w:t>
            </w: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widowControl/>
              <w:spacing w:line="240" w:lineRule="auto"/>
              <w:ind w:firstLineChars="0" w:firstLine="0"/>
              <w:jc w:val="center"/>
              <w:textAlignment w:val="center"/>
              <w:rPr>
                <w:rFonts w:eastAsia="宋体"/>
                <w:b/>
                <w:bCs/>
                <w:color w:val="000000"/>
                <w:szCs w:val="24"/>
              </w:rPr>
            </w:pPr>
            <w:r>
              <w:rPr>
                <w:rFonts w:eastAsia="宋体"/>
                <w:b/>
                <w:bCs/>
                <w:color w:val="000000"/>
                <w:szCs w:val="24"/>
              </w:rPr>
              <w:t>项目分工</w:t>
            </w:r>
          </w:p>
        </w:tc>
      </w:tr>
      <w:tr w:rsidR="0027074B">
        <w:trPr>
          <w:trHeight w:val="531"/>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widowControl/>
              <w:spacing w:line="240" w:lineRule="auto"/>
              <w:ind w:firstLineChars="0" w:firstLine="0"/>
              <w:jc w:val="center"/>
              <w:textAlignment w:val="center"/>
              <w:rPr>
                <w:rFonts w:eastAsia="宋体"/>
                <w:color w:val="000000"/>
                <w:szCs w:val="24"/>
              </w:rPr>
            </w:pPr>
            <w:r>
              <w:rPr>
                <w:rFonts w:eastAsia="宋体"/>
                <w:color w:val="000000"/>
                <w:szCs w:val="24"/>
              </w:rPr>
              <w:t>1</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widowControl/>
              <w:spacing w:line="240" w:lineRule="auto"/>
              <w:ind w:firstLineChars="0" w:firstLine="0"/>
              <w:jc w:val="center"/>
              <w:textAlignment w:val="center"/>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widowControl/>
              <w:spacing w:line="240" w:lineRule="auto"/>
              <w:ind w:firstLineChars="0" w:firstLine="0"/>
              <w:jc w:val="center"/>
              <w:textAlignment w:val="center"/>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widowControl/>
              <w:spacing w:line="240" w:lineRule="auto"/>
              <w:ind w:firstLineChars="0" w:firstLine="0"/>
              <w:textAlignment w:val="center"/>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vAlign w:val="center"/>
          </w:tcPr>
          <w:p w:rsidR="0027074B" w:rsidRDefault="004B23C3">
            <w:pPr>
              <w:widowControl/>
              <w:spacing w:line="240" w:lineRule="auto"/>
              <w:ind w:firstLineChars="0" w:firstLine="0"/>
              <w:jc w:val="center"/>
              <w:textAlignment w:val="center"/>
              <w:rPr>
                <w:rFonts w:eastAsia="宋体"/>
                <w:color w:val="000000"/>
                <w:szCs w:val="24"/>
              </w:rPr>
            </w:pPr>
            <w:r>
              <w:rPr>
                <w:rFonts w:eastAsia="宋体"/>
                <w:color w:val="000000"/>
                <w:szCs w:val="24"/>
              </w:rPr>
              <w:t>负责标准编制工作的统筹安排和编写</w:t>
            </w:r>
          </w:p>
        </w:tc>
      </w:tr>
      <w:tr w:rsidR="0027074B">
        <w:trPr>
          <w:trHeight w:val="265"/>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widowControl/>
              <w:spacing w:line="240" w:lineRule="auto"/>
              <w:ind w:firstLineChars="0" w:firstLine="0"/>
              <w:jc w:val="center"/>
              <w:textAlignment w:val="center"/>
              <w:rPr>
                <w:rFonts w:eastAsia="宋体"/>
                <w:color w:val="000000"/>
                <w:szCs w:val="24"/>
              </w:rPr>
            </w:pPr>
            <w:r>
              <w:rPr>
                <w:rFonts w:eastAsia="宋体"/>
                <w:color w:val="000000"/>
                <w:szCs w:val="24"/>
              </w:rPr>
              <w:t>2</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widowControl/>
              <w:spacing w:line="240" w:lineRule="auto"/>
              <w:ind w:firstLineChars="0" w:firstLine="0"/>
              <w:textAlignment w:val="center"/>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widowControl/>
              <w:spacing w:line="240" w:lineRule="auto"/>
              <w:ind w:firstLineChars="0" w:firstLine="0"/>
              <w:jc w:val="center"/>
              <w:textAlignment w:val="center"/>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widowControl/>
              <w:spacing w:line="240" w:lineRule="auto"/>
              <w:ind w:firstLineChars="0" w:firstLine="0"/>
              <w:jc w:val="center"/>
              <w:textAlignment w:val="center"/>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vAlign w:val="center"/>
          </w:tcPr>
          <w:p w:rsidR="0027074B" w:rsidRDefault="004B23C3">
            <w:pPr>
              <w:widowControl/>
              <w:spacing w:line="240" w:lineRule="auto"/>
              <w:ind w:firstLineChars="0" w:firstLine="0"/>
              <w:jc w:val="center"/>
              <w:textAlignment w:val="center"/>
              <w:rPr>
                <w:rFonts w:eastAsia="宋体"/>
                <w:color w:val="000000"/>
                <w:szCs w:val="24"/>
              </w:rPr>
            </w:pPr>
            <w:r>
              <w:rPr>
                <w:rFonts w:eastAsia="宋体"/>
                <w:color w:val="000000"/>
                <w:szCs w:val="24"/>
              </w:rPr>
              <w:t>具体负责组织编写</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3</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FF0000"/>
                <w:szCs w:val="24"/>
              </w:rPr>
            </w:pPr>
            <w:r>
              <w:rPr>
                <w:rFonts w:eastAsia="宋体"/>
                <w:color w:val="000000"/>
                <w:szCs w:val="24"/>
              </w:rPr>
              <w:t>4</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5</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6</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7</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8</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9</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10</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11</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12</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13</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14</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lastRenderedPageBreak/>
              <w:t>15</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16</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szCs w:val="24"/>
              </w:rPr>
            </w:pPr>
            <w:r>
              <w:rPr>
                <w:rFonts w:eastAsia="宋体"/>
                <w:szCs w:val="24"/>
              </w:rPr>
              <w:t>参与文本起草和修改</w:t>
            </w:r>
          </w:p>
        </w:tc>
      </w:tr>
      <w:tr w:rsidR="0027074B">
        <w:trPr>
          <w:trHeight w:val="416"/>
          <w:jc w:val="center"/>
        </w:trPr>
        <w:tc>
          <w:tcPr>
            <w:tcW w:w="704"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color w:val="000000"/>
                <w:szCs w:val="24"/>
              </w:rPr>
              <w:t>17</w:t>
            </w:r>
          </w:p>
        </w:tc>
        <w:tc>
          <w:tcPr>
            <w:tcW w:w="99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jc w:val="center"/>
              <w:rPr>
                <w:rFonts w:eastAsia="宋体"/>
                <w:color w:val="000000"/>
                <w:szCs w:val="24"/>
              </w:rPr>
            </w:pPr>
          </w:p>
        </w:tc>
        <w:tc>
          <w:tcPr>
            <w:tcW w:w="2552"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1701" w:type="dxa"/>
            <w:tcBorders>
              <w:top w:val="single" w:sz="4" w:space="0" w:color="000000"/>
              <w:left w:val="single" w:sz="4" w:space="0" w:color="000000"/>
              <w:bottom w:val="single" w:sz="4" w:space="0" w:color="000000"/>
              <w:right w:val="single" w:sz="4" w:space="0" w:color="000000"/>
            </w:tcBorders>
            <w:noWrap/>
            <w:vAlign w:val="center"/>
          </w:tcPr>
          <w:p w:rsidR="0027074B" w:rsidRDefault="0027074B">
            <w:pPr>
              <w:spacing w:line="240" w:lineRule="auto"/>
              <w:ind w:firstLineChars="0" w:firstLine="0"/>
              <w:rPr>
                <w:rFonts w:eastAsia="宋体"/>
                <w:color w:val="000000"/>
                <w:szCs w:val="24"/>
              </w:rPr>
            </w:pPr>
          </w:p>
        </w:tc>
        <w:tc>
          <w:tcPr>
            <w:tcW w:w="2410" w:type="dxa"/>
            <w:tcBorders>
              <w:top w:val="single" w:sz="4" w:space="0" w:color="000000"/>
              <w:left w:val="single" w:sz="4" w:space="0" w:color="000000"/>
              <w:bottom w:val="single" w:sz="4" w:space="0" w:color="000000"/>
              <w:right w:val="single" w:sz="4" w:space="0" w:color="000000"/>
            </w:tcBorders>
            <w:noWrap/>
            <w:vAlign w:val="center"/>
          </w:tcPr>
          <w:p w:rsidR="0027074B" w:rsidRDefault="004B23C3">
            <w:pPr>
              <w:spacing w:line="240" w:lineRule="auto"/>
              <w:ind w:firstLineChars="0" w:firstLine="0"/>
              <w:jc w:val="center"/>
              <w:rPr>
                <w:rFonts w:eastAsia="宋体"/>
                <w:color w:val="000000"/>
                <w:szCs w:val="24"/>
              </w:rPr>
            </w:pPr>
            <w:r>
              <w:rPr>
                <w:rFonts w:eastAsia="宋体"/>
                <w:szCs w:val="24"/>
              </w:rPr>
              <w:t>参与文本起草和修改</w:t>
            </w:r>
          </w:p>
        </w:tc>
      </w:tr>
    </w:tbl>
    <w:p w:rsidR="0027074B" w:rsidRDefault="004B23C3">
      <w:pPr>
        <w:pStyle w:val="22"/>
        <w:ind w:firstLine="562"/>
      </w:pPr>
      <w:bookmarkStart w:id="7" w:name="_Toc203082617"/>
      <w:r>
        <w:t>（四）标准制定过程</w:t>
      </w:r>
      <w:bookmarkEnd w:id="7"/>
    </w:p>
    <w:p w:rsidR="0027074B" w:rsidRDefault="004B23C3">
      <w:pPr>
        <w:autoSpaceDE w:val="0"/>
        <w:autoSpaceDN w:val="0"/>
        <w:adjustRightInd/>
        <w:snapToGrid/>
        <w:spacing w:line="240" w:lineRule="auto"/>
        <w:ind w:left="561" w:firstLineChars="0" w:firstLine="0"/>
        <w:outlineLvl w:val="2"/>
        <w:rPr>
          <w:rFonts w:eastAsia="楷体"/>
          <w:b/>
          <w:bCs/>
          <w:color w:val="000000"/>
          <w:sz w:val="28"/>
          <w:szCs w:val="28"/>
        </w:rPr>
      </w:pPr>
      <w:r>
        <w:rPr>
          <w:rFonts w:eastAsia="楷体"/>
          <w:b/>
          <w:bCs/>
          <w:color w:val="000000"/>
          <w:sz w:val="28"/>
          <w:szCs w:val="28"/>
        </w:rPr>
        <w:t xml:space="preserve">1. </w:t>
      </w:r>
      <w:r>
        <w:rPr>
          <w:rFonts w:eastAsia="楷体"/>
          <w:b/>
          <w:bCs/>
          <w:color w:val="000000"/>
          <w:sz w:val="28"/>
          <w:szCs w:val="28"/>
        </w:rPr>
        <w:t>开展标准前期研究</w:t>
      </w:r>
    </w:p>
    <w:p w:rsidR="0027074B" w:rsidRDefault="004B23C3">
      <w:pPr>
        <w:pStyle w:val="13"/>
        <w:adjustRightInd/>
        <w:ind w:firstLine="560"/>
        <w:rPr>
          <w:color w:val="auto"/>
        </w:rPr>
      </w:pPr>
      <w:r>
        <w:rPr>
          <w:color w:val="auto"/>
        </w:rPr>
        <w:t>2</w:t>
      </w:r>
      <w:r>
        <w:rPr>
          <w:color w:val="auto"/>
          <w:szCs w:val="32"/>
        </w:rPr>
        <w:t>025</w:t>
      </w:r>
      <w:r>
        <w:rPr>
          <w:color w:val="auto"/>
          <w:szCs w:val="32"/>
        </w:rPr>
        <w:t>年</w:t>
      </w:r>
      <w:r w:rsidR="008939FE">
        <w:rPr>
          <w:color w:val="auto"/>
          <w:szCs w:val="32"/>
        </w:rPr>
        <w:t>10</w:t>
      </w:r>
      <w:r>
        <w:rPr>
          <w:color w:val="auto"/>
          <w:szCs w:val="32"/>
        </w:rPr>
        <w:t>月</w:t>
      </w:r>
      <w:r>
        <w:rPr>
          <w:color w:val="auto"/>
          <w:szCs w:val="32"/>
        </w:rPr>
        <w:t>~2025</w:t>
      </w:r>
      <w:r>
        <w:rPr>
          <w:color w:val="auto"/>
          <w:szCs w:val="32"/>
        </w:rPr>
        <w:t>年</w:t>
      </w:r>
      <w:r w:rsidR="008939FE">
        <w:rPr>
          <w:color w:val="auto"/>
          <w:szCs w:val="32"/>
        </w:rPr>
        <w:t>12</w:t>
      </w:r>
      <w:r>
        <w:rPr>
          <w:color w:val="auto"/>
          <w:szCs w:val="32"/>
        </w:rPr>
        <w:t>月，标</w:t>
      </w:r>
      <w:r w:rsidR="008939FE">
        <w:rPr>
          <w:color w:val="auto"/>
          <w:szCs w:val="32"/>
        </w:rPr>
        <w:t>准起草组对国内外相关标准材料进行了全面查阅，包括有关畜禽粪便</w:t>
      </w:r>
      <w:r>
        <w:rPr>
          <w:color w:val="auto"/>
          <w:szCs w:val="32"/>
        </w:rPr>
        <w:t>堆肥技术标准、现有技术</w:t>
      </w:r>
      <w:r w:rsidR="008939FE">
        <w:rPr>
          <w:rFonts w:hint="eastAsia"/>
          <w:color w:val="auto"/>
          <w:szCs w:val="32"/>
        </w:rPr>
        <w:t>文件、</w:t>
      </w:r>
      <w:r>
        <w:rPr>
          <w:color w:val="auto"/>
          <w:szCs w:val="32"/>
        </w:rPr>
        <w:t>相关法律法规等。这些材料成为制定此次标准的依据，以确保其符合国家相关法律法规和管理规定的要求。此外，标准编制组还系统收集了全国部分养殖区畜禽粪便收集、处理、运输及利用等方面的</w:t>
      </w:r>
      <w:r w:rsidR="00194014">
        <w:rPr>
          <w:rFonts w:hint="eastAsia"/>
          <w:color w:val="auto"/>
          <w:szCs w:val="32"/>
        </w:rPr>
        <w:t>研究成果</w:t>
      </w:r>
      <w:r>
        <w:rPr>
          <w:color w:val="auto"/>
          <w:szCs w:val="32"/>
        </w:rPr>
        <w:t>作为技术资料，并对国内外相关标准、规范和研究报告资料进行了对比分析。同时，标准起草组到全国畜禽养殖的典型省份进行了实地考察，了解不同畜禽种类、养殖规模以及气候和农作物条件下畜禽粪便收集、输送、</w:t>
      </w:r>
      <w:r>
        <w:rPr>
          <w:rFonts w:hint="eastAsia"/>
          <w:color w:val="auto"/>
          <w:szCs w:val="32"/>
        </w:rPr>
        <w:t>堆</w:t>
      </w:r>
      <w:r>
        <w:rPr>
          <w:color w:val="auto"/>
          <w:szCs w:val="32"/>
        </w:rPr>
        <w:t>肥、施用工艺技术和设备设施的情况，并进行归类总结和分析。</w:t>
      </w:r>
    </w:p>
    <w:p w:rsidR="0027074B" w:rsidRDefault="004B23C3">
      <w:pPr>
        <w:adjustRightInd/>
        <w:snapToGrid/>
        <w:spacing w:line="240" w:lineRule="auto"/>
        <w:ind w:left="561" w:firstLineChars="0" w:firstLine="0"/>
        <w:outlineLvl w:val="2"/>
        <w:rPr>
          <w:rFonts w:eastAsia="楷体"/>
          <w:b/>
          <w:bCs/>
          <w:sz w:val="28"/>
          <w:szCs w:val="28"/>
        </w:rPr>
      </w:pPr>
      <w:r>
        <w:rPr>
          <w:rFonts w:eastAsia="楷体"/>
          <w:b/>
          <w:bCs/>
          <w:sz w:val="28"/>
          <w:szCs w:val="28"/>
        </w:rPr>
        <w:t xml:space="preserve">2. </w:t>
      </w:r>
      <w:r w:rsidR="0039051C">
        <w:rPr>
          <w:rFonts w:eastAsia="楷体" w:hint="eastAsia"/>
          <w:b/>
          <w:bCs/>
          <w:sz w:val="28"/>
          <w:szCs w:val="28"/>
        </w:rPr>
        <w:t>标准</w:t>
      </w:r>
      <w:r>
        <w:rPr>
          <w:rFonts w:eastAsia="楷体"/>
          <w:b/>
          <w:bCs/>
          <w:sz w:val="28"/>
          <w:szCs w:val="28"/>
        </w:rPr>
        <w:t>起草</w:t>
      </w:r>
    </w:p>
    <w:p w:rsidR="0027074B" w:rsidRDefault="004B23C3">
      <w:pPr>
        <w:pStyle w:val="13"/>
        <w:adjustRightInd/>
        <w:ind w:firstLine="560"/>
        <w:rPr>
          <w:color w:val="auto"/>
          <w:szCs w:val="32"/>
        </w:rPr>
      </w:pPr>
      <w:r>
        <w:rPr>
          <w:color w:val="auto"/>
          <w:szCs w:val="32"/>
        </w:rPr>
        <w:t>在掌握丰富翔实的资料后，标准起草组就相应的细节问题多次与相关单位进行咨询，内部进行了标准框架和技术内容的多次讨论，在充分消化吸收资料的基础上于</w:t>
      </w:r>
      <w:r>
        <w:rPr>
          <w:color w:val="auto"/>
          <w:szCs w:val="32"/>
        </w:rPr>
        <w:t>202</w:t>
      </w:r>
      <w:r w:rsidR="00C67E17">
        <w:rPr>
          <w:color w:val="auto"/>
          <w:szCs w:val="32"/>
        </w:rPr>
        <w:t>6</w:t>
      </w:r>
      <w:r>
        <w:rPr>
          <w:color w:val="auto"/>
          <w:szCs w:val="32"/>
        </w:rPr>
        <w:t>年</w:t>
      </w:r>
      <w:r w:rsidR="0039051C">
        <w:rPr>
          <w:color w:val="auto"/>
          <w:szCs w:val="32"/>
        </w:rPr>
        <w:t>1</w:t>
      </w:r>
      <w:r>
        <w:rPr>
          <w:color w:val="auto"/>
          <w:szCs w:val="32"/>
        </w:rPr>
        <w:t>月形成了《畜禽粪便</w:t>
      </w:r>
      <w:r w:rsidR="0039051C">
        <w:rPr>
          <w:rFonts w:hint="eastAsia"/>
          <w:color w:val="auto"/>
          <w:szCs w:val="32"/>
        </w:rPr>
        <w:t>就地覆膜堆肥</w:t>
      </w:r>
      <w:r>
        <w:rPr>
          <w:color w:val="auto"/>
          <w:szCs w:val="32"/>
        </w:rPr>
        <w:t>技术规范》标准框架。</w:t>
      </w:r>
    </w:p>
    <w:p w:rsidR="0039051C" w:rsidRDefault="004B23C3">
      <w:pPr>
        <w:pStyle w:val="13"/>
        <w:adjustRightInd/>
        <w:ind w:firstLine="560"/>
        <w:rPr>
          <w:color w:val="auto"/>
          <w:szCs w:val="32"/>
        </w:rPr>
      </w:pPr>
      <w:r>
        <w:rPr>
          <w:color w:val="auto"/>
          <w:szCs w:val="32"/>
        </w:rPr>
        <w:t>202</w:t>
      </w:r>
      <w:r w:rsidR="0039051C">
        <w:rPr>
          <w:color w:val="auto"/>
          <w:szCs w:val="32"/>
        </w:rPr>
        <w:t>6</w:t>
      </w:r>
      <w:r>
        <w:rPr>
          <w:color w:val="auto"/>
          <w:szCs w:val="32"/>
        </w:rPr>
        <w:t>年</w:t>
      </w:r>
      <w:r w:rsidR="0039051C">
        <w:rPr>
          <w:color w:val="auto"/>
          <w:szCs w:val="32"/>
        </w:rPr>
        <w:t>2</w:t>
      </w:r>
      <w:r>
        <w:rPr>
          <w:color w:val="auto"/>
          <w:szCs w:val="32"/>
        </w:rPr>
        <w:t>月至</w:t>
      </w:r>
      <w:r>
        <w:rPr>
          <w:color w:val="auto"/>
          <w:szCs w:val="32"/>
        </w:rPr>
        <w:t>2026</w:t>
      </w:r>
      <w:r>
        <w:rPr>
          <w:color w:val="auto"/>
          <w:szCs w:val="32"/>
        </w:rPr>
        <w:t>年</w:t>
      </w:r>
      <w:r w:rsidR="00710879">
        <w:rPr>
          <w:color w:val="auto"/>
          <w:szCs w:val="32"/>
        </w:rPr>
        <w:t>3</w:t>
      </w:r>
      <w:r>
        <w:rPr>
          <w:color w:val="auto"/>
          <w:szCs w:val="32"/>
        </w:rPr>
        <w:t>月，标准起草组</w:t>
      </w:r>
      <w:r w:rsidR="0039051C" w:rsidRPr="0039051C">
        <w:rPr>
          <w:rFonts w:hint="eastAsia"/>
          <w:color w:val="auto"/>
          <w:szCs w:val="32"/>
        </w:rPr>
        <w:t>与其他参与单位充分沟通交流，根据标准</w:t>
      </w:r>
      <w:r w:rsidR="0039051C">
        <w:rPr>
          <w:rFonts w:hint="eastAsia"/>
          <w:color w:val="auto"/>
          <w:szCs w:val="32"/>
        </w:rPr>
        <w:t>框架</w:t>
      </w:r>
      <w:r w:rsidR="0039051C" w:rsidRPr="0039051C">
        <w:rPr>
          <w:rFonts w:hint="eastAsia"/>
          <w:color w:val="auto"/>
          <w:szCs w:val="32"/>
        </w:rPr>
        <w:t>提出了相应的</w:t>
      </w:r>
      <w:r w:rsidR="0039051C">
        <w:rPr>
          <w:color w:val="auto"/>
          <w:szCs w:val="32"/>
        </w:rPr>
        <w:t>《畜禽粪便</w:t>
      </w:r>
      <w:r w:rsidR="0039051C">
        <w:rPr>
          <w:rFonts w:hint="eastAsia"/>
          <w:color w:val="auto"/>
          <w:szCs w:val="32"/>
        </w:rPr>
        <w:t>就地覆膜堆肥</w:t>
      </w:r>
      <w:r w:rsidR="0039051C">
        <w:rPr>
          <w:color w:val="auto"/>
          <w:szCs w:val="32"/>
        </w:rPr>
        <w:t>技术规</w:t>
      </w:r>
      <w:r w:rsidR="0039051C">
        <w:rPr>
          <w:color w:val="auto"/>
          <w:szCs w:val="32"/>
        </w:rPr>
        <w:lastRenderedPageBreak/>
        <w:t>范》</w:t>
      </w:r>
      <w:r w:rsidR="0039051C">
        <w:rPr>
          <w:rFonts w:hint="eastAsia"/>
          <w:color w:val="auto"/>
          <w:szCs w:val="32"/>
        </w:rPr>
        <w:t>技术内容</w:t>
      </w:r>
      <w:r w:rsidR="0039051C" w:rsidRPr="0039051C">
        <w:rPr>
          <w:rFonts w:hint="eastAsia"/>
          <w:color w:val="auto"/>
          <w:szCs w:val="32"/>
        </w:rPr>
        <w:t>，并根据参与单位在</w:t>
      </w:r>
      <w:r w:rsidR="0039051C">
        <w:rPr>
          <w:rFonts w:hint="eastAsia"/>
          <w:color w:val="auto"/>
          <w:szCs w:val="32"/>
        </w:rPr>
        <w:t>原料要求</w:t>
      </w:r>
      <w:r w:rsidR="0039051C" w:rsidRPr="0039051C">
        <w:rPr>
          <w:rFonts w:hint="eastAsia"/>
          <w:color w:val="auto"/>
          <w:szCs w:val="32"/>
        </w:rPr>
        <w:t>、</w:t>
      </w:r>
      <w:r w:rsidR="0039051C">
        <w:rPr>
          <w:rFonts w:hint="eastAsia"/>
          <w:color w:val="auto"/>
          <w:szCs w:val="32"/>
        </w:rPr>
        <w:t>覆膜堆肥设施</w:t>
      </w:r>
      <w:r w:rsidR="0039051C" w:rsidRPr="0039051C">
        <w:rPr>
          <w:rFonts w:hint="eastAsia"/>
          <w:color w:val="auto"/>
          <w:szCs w:val="32"/>
        </w:rPr>
        <w:t>、</w:t>
      </w:r>
      <w:r w:rsidR="0039051C">
        <w:rPr>
          <w:rFonts w:hint="eastAsia"/>
          <w:color w:val="auto"/>
          <w:szCs w:val="32"/>
        </w:rPr>
        <w:t>堆肥工艺、堆肥产物和检测方法等方面形成的研究成果，确定相关</w:t>
      </w:r>
      <w:r w:rsidR="0039051C" w:rsidRPr="0039051C">
        <w:rPr>
          <w:rFonts w:hint="eastAsia"/>
          <w:color w:val="auto"/>
          <w:szCs w:val="32"/>
        </w:rPr>
        <w:t>技术参数</w:t>
      </w:r>
      <w:r w:rsidR="0039051C">
        <w:rPr>
          <w:rFonts w:hint="eastAsia"/>
          <w:color w:val="auto"/>
          <w:szCs w:val="32"/>
        </w:rPr>
        <w:t>，形成标准草案</w:t>
      </w:r>
      <w:r w:rsidR="0039051C" w:rsidRPr="0039051C">
        <w:rPr>
          <w:rFonts w:hint="eastAsia"/>
          <w:color w:val="auto"/>
          <w:szCs w:val="32"/>
        </w:rPr>
        <w:t>。</w:t>
      </w:r>
    </w:p>
    <w:p w:rsidR="0027074B" w:rsidRDefault="0039051C">
      <w:pPr>
        <w:adjustRightInd/>
        <w:snapToGrid/>
        <w:spacing w:line="240" w:lineRule="auto"/>
        <w:ind w:left="561" w:firstLineChars="0" w:firstLine="0"/>
        <w:outlineLvl w:val="2"/>
        <w:rPr>
          <w:rFonts w:eastAsia="楷体"/>
          <w:b/>
          <w:bCs/>
          <w:sz w:val="28"/>
          <w:szCs w:val="28"/>
        </w:rPr>
      </w:pPr>
      <w:r>
        <w:rPr>
          <w:rFonts w:eastAsia="楷体"/>
          <w:b/>
          <w:bCs/>
          <w:sz w:val="28"/>
          <w:szCs w:val="28"/>
        </w:rPr>
        <w:t>3</w:t>
      </w:r>
      <w:r w:rsidR="004B23C3">
        <w:rPr>
          <w:rFonts w:eastAsia="楷体"/>
          <w:b/>
          <w:bCs/>
          <w:sz w:val="28"/>
          <w:szCs w:val="28"/>
        </w:rPr>
        <w:t xml:space="preserve">. </w:t>
      </w:r>
      <w:r w:rsidR="004B23C3">
        <w:rPr>
          <w:rFonts w:eastAsia="楷体"/>
          <w:b/>
          <w:bCs/>
          <w:sz w:val="28"/>
          <w:szCs w:val="28"/>
        </w:rPr>
        <w:t>形成标准征求意见稿</w:t>
      </w:r>
    </w:p>
    <w:p w:rsidR="0027074B" w:rsidRDefault="004B23C3">
      <w:pPr>
        <w:pStyle w:val="13"/>
        <w:adjustRightInd/>
        <w:ind w:firstLine="560"/>
        <w:rPr>
          <w:color w:val="auto"/>
          <w:szCs w:val="32"/>
        </w:rPr>
      </w:pPr>
      <w:r>
        <w:rPr>
          <w:color w:val="auto"/>
          <w:szCs w:val="32"/>
        </w:rPr>
        <w:t>起草组按照</w:t>
      </w:r>
      <w:r>
        <w:rPr>
          <w:color w:val="auto"/>
          <w:szCs w:val="32"/>
        </w:rPr>
        <w:t>GB/T 1.1—2020</w:t>
      </w:r>
      <w:r>
        <w:rPr>
          <w:color w:val="auto"/>
          <w:szCs w:val="32"/>
        </w:rPr>
        <w:t>《标准化工作导则</w:t>
      </w:r>
      <w:r>
        <w:rPr>
          <w:color w:val="auto"/>
          <w:szCs w:val="32"/>
        </w:rPr>
        <w:t xml:space="preserve"> </w:t>
      </w:r>
      <w:r>
        <w:rPr>
          <w:color w:val="auto"/>
          <w:szCs w:val="32"/>
        </w:rPr>
        <w:t>第</w:t>
      </w:r>
      <w:r>
        <w:rPr>
          <w:color w:val="auto"/>
          <w:szCs w:val="32"/>
        </w:rPr>
        <w:t>1</w:t>
      </w:r>
      <w:r>
        <w:rPr>
          <w:color w:val="auto"/>
          <w:szCs w:val="32"/>
        </w:rPr>
        <w:t>部分：标准化文件的结构和起草规则》的规则，在《</w:t>
      </w:r>
      <w:r w:rsidR="0039051C">
        <w:rPr>
          <w:color w:val="auto"/>
          <w:szCs w:val="32"/>
        </w:rPr>
        <w:t>畜禽粪便</w:t>
      </w:r>
      <w:r w:rsidR="0039051C">
        <w:rPr>
          <w:rFonts w:hint="eastAsia"/>
          <w:color w:val="auto"/>
          <w:szCs w:val="32"/>
        </w:rPr>
        <w:t>就地覆膜堆肥</w:t>
      </w:r>
      <w:r w:rsidR="0039051C">
        <w:rPr>
          <w:color w:val="auto"/>
          <w:szCs w:val="32"/>
        </w:rPr>
        <w:t>技术规范</w:t>
      </w:r>
      <w:r>
        <w:rPr>
          <w:color w:val="auto"/>
          <w:szCs w:val="32"/>
        </w:rPr>
        <w:t>》标准草案基础上经过反复修改和完善，于</w:t>
      </w:r>
      <w:r>
        <w:rPr>
          <w:color w:val="auto"/>
          <w:szCs w:val="32"/>
        </w:rPr>
        <w:t>2026</w:t>
      </w:r>
      <w:r>
        <w:rPr>
          <w:color w:val="auto"/>
          <w:szCs w:val="32"/>
        </w:rPr>
        <w:t>年</w:t>
      </w:r>
      <w:r w:rsidR="0039051C">
        <w:rPr>
          <w:color w:val="auto"/>
          <w:szCs w:val="32"/>
        </w:rPr>
        <w:t>4</w:t>
      </w:r>
      <w:r>
        <w:rPr>
          <w:color w:val="auto"/>
          <w:szCs w:val="32"/>
        </w:rPr>
        <w:t>月形成了《畜禽粪便就地覆膜堆肥技术规范》文本定向征求意见稿和编制说明。</w:t>
      </w:r>
    </w:p>
    <w:p w:rsidR="0027074B" w:rsidRDefault="002760A7">
      <w:pPr>
        <w:pStyle w:val="1"/>
        <w:spacing w:before="0" w:beforeAutospacing="0" w:after="0" w:afterAutospacing="0"/>
        <w:ind w:firstLineChars="200" w:firstLine="562"/>
        <w:rPr>
          <w:rFonts w:ascii="Times New Roman" w:eastAsia="黑体" w:hAnsi="Times New Roman" w:cs="Times New Roman"/>
          <w:sz w:val="28"/>
          <w:lang w:val="zh-CN"/>
        </w:rPr>
      </w:pPr>
      <w:bookmarkStart w:id="8" w:name="_Toc203082618"/>
      <w:r>
        <w:rPr>
          <w:rFonts w:ascii="Times New Roman" w:eastAsia="黑体" w:hAnsi="Times New Roman" w:cs="Times New Roman"/>
          <w:sz w:val="28"/>
          <w:lang w:val="zh-CN"/>
        </w:rPr>
        <w:t>二、</w:t>
      </w:r>
      <w:r w:rsidR="004B23C3">
        <w:rPr>
          <w:rFonts w:ascii="Times New Roman" w:eastAsia="黑体" w:hAnsi="Times New Roman" w:cs="Times New Roman"/>
          <w:sz w:val="28"/>
          <w:lang w:val="zh-CN"/>
        </w:rPr>
        <w:t>标准编制原则、主要内容及其确定依据</w:t>
      </w:r>
      <w:bookmarkEnd w:id="8"/>
    </w:p>
    <w:p w:rsidR="0027074B" w:rsidRDefault="004B23C3">
      <w:pPr>
        <w:pStyle w:val="22"/>
        <w:ind w:firstLine="562"/>
      </w:pPr>
      <w:bookmarkStart w:id="9" w:name="_Toc203082619"/>
      <w:r>
        <w:t>（一）标准编制原则</w:t>
      </w:r>
      <w:bookmarkEnd w:id="9"/>
    </w:p>
    <w:p w:rsidR="0027074B" w:rsidRDefault="004B23C3">
      <w:pPr>
        <w:pStyle w:val="13"/>
        <w:adjustRightInd/>
        <w:ind w:firstLine="560"/>
        <w:rPr>
          <w:color w:val="auto"/>
          <w:szCs w:val="32"/>
        </w:rPr>
      </w:pPr>
      <w:r>
        <w:rPr>
          <w:color w:val="auto"/>
          <w:szCs w:val="32"/>
        </w:rPr>
        <w:t>在标准的编制过程中严格遵循国家有关方针、政策、法规和规章，标准的编写规则及表述按照《标准化工作导则</w:t>
      </w:r>
      <w:r>
        <w:rPr>
          <w:color w:val="auto"/>
          <w:szCs w:val="32"/>
        </w:rPr>
        <w:t xml:space="preserve"> </w:t>
      </w:r>
      <w:r>
        <w:rPr>
          <w:color w:val="auto"/>
          <w:szCs w:val="32"/>
        </w:rPr>
        <w:t>第</w:t>
      </w:r>
      <w:r>
        <w:rPr>
          <w:color w:val="auto"/>
          <w:szCs w:val="32"/>
        </w:rPr>
        <w:t>1</w:t>
      </w:r>
      <w:r>
        <w:rPr>
          <w:color w:val="auto"/>
          <w:szCs w:val="32"/>
        </w:rPr>
        <w:t>部分：标准化文件的结构和起草规则》（</w:t>
      </w:r>
      <w:r>
        <w:rPr>
          <w:color w:val="auto"/>
          <w:szCs w:val="32"/>
        </w:rPr>
        <w:t>GB/T 1.1-2020</w:t>
      </w:r>
      <w:r>
        <w:rPr>
          <w:color w:val="auto"/>
          <w:szCs w:val="32"/>
        </w:rPr>
        <w:t>）的相关规定，遵循科学、合理、可行的原则，力求做到规范、统一。</w:t>
      </w:r>
    </w:p>
    <w:p w:rsidR="0027074B" w:rsidRDefault="004B23C3">
      <w:pPr>
        <w:pStyle w:val="13"/>
        <w:adjustRightInd/>
        <w:ind w:firstLine="560"/>
        <w:rPr>
          <w:color w:val="auto"/>
          <w:szCs w:val="32"/>
        </w:rPr>
      </w:pPr>
      <w:r>
        <w:rPr>
          <w:color w:val="auto"/>
          <w:szCs w:val="32"/>
        </w:rPr>
        <w:t>首先，在标准制定过程中，遵循政策和协调统一性原则。严格遵循国家有关方针、政策、法规和规章，严格执行</w:t>
      </w:r>
      <w:r w:rsidR="00710879">
        <w:rPr>
          <w:rFonts w:hint="eastAsia"/>
          <w:color w:val="auto"/>
          <w:szCs w:val="32"/>
        </w:rPr>
        <w:t>团体</w:t>
      </w:r>
      <w:r>
        <w:rPr>
          <w:color w:val="auto"/>
          <w:szCs w:val="32"/>
        </w:rPr>
        <w:t>标准</w:t>
      </w:r>
      <w:r w:rsidR="00710879">
        <w:rPr>
          <w:rFonts w:hint="eastAsia"/>
          <w:color w:val="auto"/>
          <w:szCs w:val="32"/>
        </w:rPr>
        <w:t>编制要求</w:t>
      </w:r>
      <w:r>
        <w:rPr>
          <w:color w:val="auto"/>
          <w:szCs w:val="32"/>
        </w:rPr>
        <w:t>，与同体系标准及相关的各种基础标准相衔接。</w:t>
      </w:r>
    </w:p>
    <w:p w:rsidR="0027074B" w:rsidRDefault="004B23C3">
      <w:pPr>
        <w:pStyle w:val="13"/>
        <w:adjustRightInd/>
        <w:ind w:firstLine="560"/>
        <w:rPr>
          <w:color w:val="auto"/>
          <w:szCs w:val="32"/>
        </w:rPr>
      </w:pPr>
      <w:r>
        <w:rPr>
          <w:color w:val="auto"/>
          <w:szCs w:val="32"/>
        </w:rPr>
        <w:t>其次，主要技术指标的确定是以规范畜禽粪便覆膜堆肥处理场地要求、原料准备、预处理、工艺控制、</w:t>
      </w:r>
      <w:r w:rsidR="00710879">
        <w:rPr>
          <w:color w:val="auto"/>
          <w:szCs w:val="32"/>
        </w:rPr>
        <w:t>成品质量要求</w:t>
      </w:r>
      <w:r>
        <w:rPr>
          <w:color w:val="auto"/>
          <w:szCs w:val="32"/>
        </w:rPr>
        <w:t>和检测方法等为目标，确保先进性、适用性、可靠性、安全性和经济合理性等技术目标。</w:t>
      </w:r>
    </w:p>
    <w:p w:rsidR="0027074B" w:rsidRDefault="004B23C3">
      <w:pPr>
        <w:pStyle w:val="13"/>
        <w:adjustRightInd/>
        <w:ind w:firstLine="560"/>
        <w:rPr>
          <w:rFonts w:eastAsia="仿宋_GB2312"/>
          <w:sz w:val="32"/>
          <w:szCs w:val="32"/>
        </w:rPr>
      </w:pPr>
      <w:r>
        <w:rPr>
          <w:color w:val="auto"/>
          <w:szCs w:val="32"/>
        </w:rPr>
        <w:t>第三，广泛征求</w:t>
      </w:r>
      <w:bookmarkStart w:id="10" w:name="OLE_LINK12"/>
      <w:bookmarkStart w:id="11" w:name="OLE_LINK11"/>
      <w:r>
        <w:rPr>
          <w:color w:val="auto"/>
          <w:szCs w:val="32"/>
        </w:rPr>
        <w:t>科研单位、</w:t>
      </w:r>
      <w:bookmarkEnd w:id="10"/>
      <w:bookmarkEnd w:id="11"/>
      <w:r w:rsidR="00710879">
        <w:rPr>
          <w:color w:val="auto"/>
          <w:szCs w:val="32"/>
        </w:rPr>
        <w:t>管理单位</w:t>
      </w:r>
      <w:r w:rsidR="00710879">
        <w:rPr>
          <w:rFonts w:hint="eastAsia"/>
          <w:color w:val="auto"/>
          <w:szCs w:val="32"/>
        </w:rPr>
        <w:t>和技术推广</w:t>
      </w:r>
      <w:r>
        <w:rPr>
          <w:color w:val="auto"/>
          <w:szCs w:val="32"/>
        </w:rPr>
        <w:t>单位等专家意见，</w:t>
      </w:r>
      <w:r>
        <w:rPr>
          <w:color w:val="auto"/>
          <w:szCs w:val="32"/>
        </w:rPr>
        <w:lastRenderedPageBreak/>
        <w:t>并与</w:t>
      </w:r>
      <w:r w:rsidR="00710879">
        <w:rPr>
          <w:rFonts w:hint="eastAsia"/>
          <w:color w:val="auto"/>
          <w:szCs w:val="32"/>
        </w:rPr>
        <w:t>相关企业应用单位</w:t>
      </w:r>
      <w:r>
        <w:rPr>
          <w:color w:val="auto"/>
          <w:szCs w:val="32"/>
        </w:rPr>
        <w:t>进行深入交流和研讨，进行适当的修改和规范，使标准既保持技术上的科学性和先进性，又具有生产上的适用性和可操作性。</w:t>
      </w:r>
    </w:p>
    <w:p w:rsidR="0027074B" w:rsidRDefault="004B23C3">
      <w:pPr>
        <w:pStyle w:val="22"/>
        <w:ind w:firstLine="562"/>
      </w:pPr>
      <w:bookmarkStart w:id="12" w:name="_Toc203082620"/>
      <w:r>
        <w:t>（二）技术路线</w:t>
      </w:r>
      <w:bookmarkEnd w:id="12"/>
    </w:p>
    <w:p w:rsidR="0027074B" w:rsidRDefault="004B23C3">
      <w:pPr>
        <w:spacing w:beforeLines="50" w:before="156" w:afterLines="50" w:after="156"/>
        <w:ind w:firstLineChars="0" w:firstLine="0"/>
        <w:jc w:val="center"/>
      </w:pPr>
      <w:r>
        <w:rPr>
          <w:noProof/>
        </w:rPr>
        <w:drawing>
          <wp:inline distT="0" distB="0" distL="0" distR="0">
            <wp:extent cx="3138170" cy="3234055"/>
            <wp:effectExtent l="0" t="0" r="5080" b="4445"/>
            <wp:docPr id="10733423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342377" name="图片 1"/>
                    <pic:cNvPicPr>
                      <a:picLocks noChangeAspect="1"/>
                    </pic:cNvPicPr>
                  </pic:nvPicPr>
                  <pic:blipFill>
                    <a:blip r:embed="rId14"/>
                    <a:srcRect l="19841" t="28181" r="20645" b="28447"/>
                    <a:stretch>
                      <a:fillRect/>
                    </a:stretch>
                  </pic:blipFill>
                  <pic:spPr>
                    <a:xfrm>
                      <a:off x="0" y="0"/>
                      <a:ext cx="3138961" cy="3235039"/>
                    </a:xfrm>
                    <a:prstGeom prst="rect">
                      <a:avLst/>
                    </a:prstGeom>
                    <a:ln>
                      <a:noFill/>
                    </a:ln>
                  </pic:spPr>
                </pic:pic>
              </a:graphicData>
            </a:graphic>
          </wp:inline>
        </w:drawing>
      </w:r>
    </w:p>
    <w:p w:rsidR="0027074B" w:rsidRDefault="004B23C3">
      <w:pPr>
        <w:pStyle w:val="af6"/>
      </w:pPr>
      <w:r>
        <w:t>图</w:t>
      </w:r>
      <w:r>
        <w:t xml:space="preserve">1 </w:t>
      </w:r>
      <w:r>
        <w:t>技术路线</w:t>
      </w:r>
    </w:p>
    <w:p w:rsidR="0027074B" w:rsidRDefault="004B23C3">
      <w:pPr>
        <w:pStyle w:val="22"/>
        <w:ind w:firstLine="562"/>
      </w:pPr>
      <w:bookmarkStart w:id="13" w:name="_Toc203082621"/>
      <w:r>
        <w:t>（三）本文件主要参考的其他标准</w:t>
      </w:r>
      <w:bookmarkEnd w:id="13"/>
    </w:p>
    <w:p w:rsidR="00A22771" w:rsidRDefault="00A22771" w:rsidP="00A22771">
      <w:pPr>
        <w:pStyle w:val="13"/>
        <w:ind w:firstLine="560"/>
        <w:rPr>
          <w:rFonts w:hint="eastAsia"/>
        </w:rPr>
      </w:pPr>
      <w:bookmarkStart w:id="14" w:name="OLE_LINK33"/>
      <w:r>
        <w:rPr>
          <w:rFonts w:hint="eastAsia"/>
        </w:rPr>
        <w:t xml:space="preserve">GB/T 8576 </w:t>
      </w:r>
      <w:r>
        <w:rPr>
          <w:rFonts w:hint="eastAsia"/>
        </w:rPr>
        <w:t>复混肥料中游离水含量的测定</w:t>
      </w:r>
      <w:r>
        <w:rPr>
          <w:rFonts w:hint="eastAsia"/>
        </w:rPr>
        <w:t xml:space="preserve"> </w:t>
      </w:r>
      <w:r>
        <w:rPr>
          <w:rFonts w:hint="eastAsia"/>
        </w:rPr>
        <w:t>真空烘箱法</w:t>
      </w:r>
    </w:p>
    <w:p w:rsidR="00A22771" w:rsidRDefault="00A22771" w:rsidP="00A22771">
      <w:pPr>
        <w:pStyle w:val="13"/>
        <w:ind w:firstLine="560"/>
        <w:rPr>
          <w:rFonts w:hint="eastAsia"/>
        </w:rPr>
      </w:pPr>
      <w:r>
        <w:rPr>
          <w:rFonts w:hint="eastAsia"/>
        </w:rPr>
        <w:t xml:space="preserve">GB/T 19524.1 </w:t>
      </w:r>
      <w:r>
        <w:rPr>
          <w:rFonts w:hint="eastAsia"/>
        </w:rPr>
        <w:t>肥料中粪大肠菌群的测定</w:t>
      </w:r>
    </w:p>
    <w:p w:rsidR="00A22771" w:rsidRDefault="00A22771" w:rsidP="00A22771">
      <w:pPr>
        <w:pStyle w:val="13"/>
        <w:ind w:firstLine="560"/>
        <w:rPr>
          <w:rFonts w:hint="eastAsia"/>
        </w:rPr>
      </w:pPr>
      <w:r>
        <w:rPr>
          <w:rFonts w:hint="eastAsia"/>
        </w:rPr>
        <w:t xml:space="preserve">GB/T 19524.2 </w:t>
      </w:r>
      <w:r>
        <w:rPr>
          <w:rFonts w:hint="eastAsia"/>
        </w:rPr>
        <w:t>肥料中蛔虫</w:t>
      </w:r>
      <w:proofErr w:type="gramStart"/>
      <w:r>
        <w:rPr>
          <w:rFonts w:hint="eastAsia"/>
        </w:rPr>
        <w:t>卵</w:t>
      </w:r>
      <w:proofErr w:type="gramEnd"/>
      <w:r>
        <w:rPr>
          <w:rFonts w:hint="eastAsia"/>
        </w:rPr>
        <w:t>死亡率的测定</w:t>
      </w:r>
    </w:p>
    <w:p w:rsidR="00A22771" w:rsidRDefault="00A22771" w:rsidP="00A22771">
      <w:pPr>
        <w:pStyle w:val="13"/>
        <w:ind w:firstLine="560"/>
        <w:rPr>
          <w:rFonts w:hint="eastAsia"/>
        </w:rPr>
      </w:pPr>
      <w:r>
        <w:rPr>
          <w:rFonts w:hint="eastAsia"/>
        </w:rPr>
        <w:t xml:space="preserve">GB/T 23349 </w:t>
      </w:r>
      <w:r>
        <w:rPr>
          <w:rFonts w:hint="eastAsia"/>
        </w:rPr>
        <w:t>肥料中砷、镉、铅、铬、汞生态指标</w:t>
      </w:r>
    </w:p>
    <w:p w:rsidR="00A22771" w:rsidRDefault="00A22771" w:rsidP="00A22771">
      <w:pPr>
        <w:pStyle w:val="13"/>
        <w:ind w:firstLine="560"/>
        <w:rPr>
          <w:rFonts w:hint="eastAsia"/>
        </w:rPr>
      </w:pPr>
      <w:r>
        <w:rPr>
          <w:rFonts w:hint="eastAsia"/>
        </w:rPr>
        <w:t xml:space="preserve">GB/T 25169-2010 </w:t>
      </w:r>
      <w:r>
        <w:rPr>
          <w:rFonts w:hint="eastAsia"/>
        </w:rPr>
        <w:t>畜禽粪便监测技术规范</w:t>
      </w:r>
    </w:p>
    <w:p w:rsidR="0027074B" w:rsidRDefault="00A22771">
      <w:pPr>
        <w:pStyle w:val="13"/>
        <w:ind w:firstLine="560"/>
      </w:pPr>
      <w:r>
        <w:rPr>
          <w:rFonts w:hint="eastAsia"/>
        </w:rPr>
        <w:t xml:space="preserve">NY/T 3442-2019 </w:t>
      </w:r>
      <w:r>
        <w:rPr>
          <w:rFonts w:hint="eastAsia"/>
        </w:rPr>
        <w:t>畜禽粪便堆肥技术规范</w:t>
      </w:r>
    </w:p>
    <w:p w:rsidR="0027074B" w:rsidRDefault="004B23C3">
      <w:pPr>
        <w:pStyle w:val="22"/>
        <w:ind w:firstLine="562"/>
        <w:rPr>
          <w:sz w:val="30"/>
          <w:szCs w:val="30"/>
        </w:rPr>
      </w:pPr>
      <w:bookmarkStart w:id="15" w:name="_Toc203082622"/>
      <w:bookmarkEnd w:id="14"/>
      <w:r>
        <w:t>（四）主要内容及其确定依据</w:t>
      </w:r>
      <w:bookmarkEnd w:id="15"/>
    </w:p>
    <w:p w:rsidR="0027074B" w:rsidRDefault="004B23C3">
      <w:pPr>
        <w:autoSpaceDE w:val="0"/>
        <w:autoSpaceDN w:val="0"/>
        <w:adjustRightInd/>
        <w:snapToGrid/>
        <w:spacing w:line="240" w:lineRule="auto"/>
        <w:ind w:left="561" w:firstLineChars="0" w:firstLine="0"/>
        <w:outlineLvl w:val="2"/>
        <w:rPr>
          <w:rFonts w:eastAsia="楷体"/>
          <w:b/>
          <w:bCs/>
          <w:color w:val="000000"/>
          <w:sz w:val="28"/>
          <w:szCs w:val="28"/>
        </w:rPr>
      </w:pPr>
      <w:r>
        <w:rPr>
          <w:rFonts w:eastAsia="楷体"/>
          <w:b/>
          <w:bCs/>
          <w:color w:val="000000"/>
          <w:sz w:val="28"/>
          <w:szCs w:val="28"/>
        </w:rPr>
        <w:lastRenderedPageBreak/>
        <w:t xml:space="preserve">1. </w:t>
      </w:r>
      <w:r>
        <w:rPr>
          <w:rFonts w:eastAsia="楷体"/>
          <w:b/>
          <w:bCs/>
          <w:color w:val="000000"/>
          <w:sz w:val="28"/>
          <w:szCs w:val="28"/>
        </w:rPr>
        <w:t>术语和定义</w:t>
      </w:r>
    </w:p>
    <w:p w:rsidR="0027074B" w:rsidRDefault="004B23C3">
      <w:pPr>
        <w:pStyle w:val="13"/>
        <w:ind w:firstLine="562"/>
        <w:rPr>
          <w:b/>
          <w:bCs/>
        </w:rPr>
      </w:pPr>
      <w:r>
        <w:rPr>
          <w:b/>
          <w:bCs/>
        </w:rPr>
        <w:t>标准内容：</w:t>
      </w:r>
    </w:p>
    <w:p w:rsidR="0027074B" w:rsidRDefault="004B23C3">
      <w:pPr>
        <w:pStyle w:val="13"/>
        <w:ind w:firstLine="560"/>
        <w:rPr>
          <w:sz w:val="22"/>
          <w:szCs w:val="24"/>
        </w:rPr>
      </w:pPr>
      <w:r>
        <w:rPr>
          <w:szCs w:val="24"/>
        </w:rPr>
        <w:t>原文</w:t>
      </w:r>
      <w:r>
        <w:rPr>
          <w:szCs w:val="24"/>
        </w:rPr>
        <w:t>3.1</w:t>
      </w:r>
    </w:p>
    <w:p w:rsidR="0027074B" w:rsidRDefault="004B23C3">
      <w:pPr>
        <w:ind w:firstLine="560"/>
        <w:rPr>
          <w:i/>
          <w:sz w:val="28"/>
          <w:szCs w:val="24"/>
        </w:rPr>
      </w:pPr>
      <w:r>
        <w:rPr>
          <w:i/>
          <w:sz w:val="28"/>
          <w:szCs w:val="24"/>
        </w:rPr>
        <w:t>“</w:t>
      </w:r>
      <w:r>
        <w:rPr>
          <w:i/>
          <w:sz w:val="28"/>
          <w:szCs w:val="24"/>
        </w:rPr>
        <w:t>覆膜堆肥</w:t>
      </w:r>
      <w:r>
        <w:rPr>
          <w:i/>
          <w:sz w:val="28"/>
          <w:szCs w:val="24"/>
        </w:rPr>
        <w:t xml:space="preserve"> covered composting</w:t>
      </w:r>
    </w:p>
    <w:p w:rsidR="0027074B" w:rsidRDefault="00596CA6" w:rsidP="00596CA6">
      <w:pPr>
        <w:ind w:firstLine="560"/>
        <w:rPr>
          <w:sz w:val="28"/>
          <w:szCs w:val="24"/>
        </w:rPr>
      </w:pPr>
      <w:bookmarkStart w:id="16" w:name="OLE_LINK4"/>
      <w:r w:rsidRPr="00596CA6">
        <w:rPr>
          <w:rFonts w:hint="eastAsia"/>
          <w:i/>
          <w:sz w:val="28"/>
          <w:szCs w:val="24"/>
        </w:rPr>
        <w:t>将畜禽粪便、秸秆等有机固体废弃物混匀后堆成条垛，在堆体表面铺设覆盖膜，通过微生物发酵使有机物降解转化为一种适宜于土地利用的产物的过程。</w:t>
      </w:r>
    </w:p>
    <w:bookmarkEnd w:id="16"/>
    <w:p w:rsidR="0027074B" w:rsidRDefault="004B23C3">
      <w:pPr>
        <w:pStyle w:val="13"/>
        <w:ind w:firstLine="562"/>
      </w:pPr>
      <w:r>
        <w:rPr>
          <w:b/>
          <w:bCs/>
        </w:rPr>
        <w:t>理由及依据</w:t>
      </w:r>
      <w:r>
        <w:t>：本标准</w:t>
      </w:r>
      <w:r w:rsidR="00596CA6">
        <w:rPr>
          <w:rFonts w:hint="eastAsia"/>
        </w:rPr>
        <w:t>处理对象主要为畜禽粪便和秸秆等废弃物，</w:t>
      </w:r>
      <w:r>
        <w:t>参考《畜禽</w:t>
      </w:r>
      <w:r w:rsidR="00596CA6">
        <w:rPr>
          <w:rFonts w:hint="eastAsia"/>
        </w:rPr>
        <w:t>粪便堆肥技术规范</w:t>
      </w:r>
      <w:r>
        <w:t>》</w:t>
      </w:r>
      <w:r w:rsidR="00596CA6">
        <w:rPr>
          <w:rFonts w:hint="eastAsia"/>
        </w:rPr>
        <w:t>中</w:t>
      </w:r>
      <w:r>
        <w:t>对</w:t>
      </w:r>
      <w:r>
        <w:t>“</w:t>
      </w:r>
      <w:r w:rsidR="00596CA6">
        <w:rPr>
          <w:rFonts w:hint="eastAsia"/>
        </w:rPr>
        <w:t>堆肥</w:t>
      </w:r>
      <w:r>
        <w:t>”</w:t>
      </w:r>
      <w:r>
        <w:t>的定义，即</w:t>
      </w:r>
      <w:r>
        <w:t>“</w:t>
      </w:r>
      <w:r w:rsidR="00596CA6">
        <w:rPr>
          <w:rFonts w:hint="eastAsia"/>
        </w:rPr>
        <w:t>在人工控制条件下，通过微生物的发酵，使有机物被降解，并生产出一种适宜于土地利用的产物的过程</w:t>
      </w:r>
      <w:r>
        <w:t>”</w:t>
      </w:r>
      <w:r>
        <w:t>，在此基础上进行修改，将覆膜堆肥处理定义为</w:t>
      </w:r>
      <w:r>
        <w:t>“</w:t>
      </w:r>
      <w:r w:rsidR="00E23E94" w:rsidRPr="00E23E94">
        <w:rPr>
          <w:rFonts w:hint="eastAsia"/>
        </w:rPr>
        <w:t>将畜禽粪便、秸秆等有机固体废弃物混匀后堆成条垛，在堆体表面铺设覆盖膜，通过微生物发酵使有机物降解转化为一种适宜于土地利用的产物的过程</w:t>
      </w:r>
      <w:r>
        <w:t>”</w:t>
      </w:r>
      <w:r>
        <w:t>。</w:t>
      </w:r>
    </w:p>
    <w:p w:rsidR="0027074B" w:rsidRDefault="004B23C3">
      <w:pPr>
        <w:pStyle w:val="13"/>
        <w:ind w:firstLine="560"/>
        <w:rPr>
          <w:color w:val="auto"/>
          <w:sz w:val="22"/>
          <w:szCs w:val="24"/>
        </w:rPr>
      </w:pPr>
      <w:r>
        <w:rPr>
          <w:color w:val="auto"/>
          <w:szCs w:val="24"/>
        </w:rPr>
        <w:t>原文</w:t>
      </w:r>
      <w:r>
        <w:rPr>
          <w:color w:val="auto"/>
          <w:szCs w:val="24"/>
        </w:rPr>
        <w:t>3.2</w:t>
      </w:r>
    </w:p>
    <w:p w:rsidR="0027074B" w:rsidRDefault="004B23C3">
      <w:pPr>
        <w:ind w:firstLine="560"/>
        <w:rPr>
          <w:i/>
          <w:sz w:val="28"/>
          <w:szCs w:val="24"/>
        </w:rPr>
      </w:pPr>
      <w:r>
        <w:rPr>
          <w:i/>
          <w:sz w:val="28"/>
          <w:szCs w:val="24"/>
        </w:rPr>
        <w:t>“</w:t>
      </w:r>
      <w:r>
        <w:rPr>
          <w:i/>
          <w:sz w:val="28"/>
          <w:szCs w:val="24"/>
        </w:rPr>
        <w:t>无动力通风</w:t>
      </w:r>
      <w:r>
        <w:rPr>
          <w:i/>
          <w:sz w:val="28"/>
          <w:szCs w:val="24"/>
        </w:rPr>
        <w:t>” unpowered ventilation</w:t>
      </w:r>
    </w:p>
    <w:p w:rsidR="0027074B" w:rsidRDefault="00E23E94">
      <w:pPr>
        <w:ind w:firstLine="560"/>
        <w:rPr>
          <w:i/>
          <w:sz w:val="28"/>
          <w:szCs w:val="24"/>
        </w:rPr>
      </w:pPr>
      <w:proofErr w:type="gramStart"/>
      <w:r w:rsidRPr="00E23E94">
        <w:rPr>
          <w:rFonts w:hint="eastAsia"/>
          <w:i/>
          <w:sz w:val="28"/>
          <w:szCs w:val="24"/>
        </w:rPr>
        <w:t>在堆体底部</w:t>
      </w:r>
      <w:proofErr w:type="gramEnd"/>
      <w:r w:rsidRPr="00E23E94">
        <w:rPr>
          <w:rFonts w:hint="eastAsia"/>
          <w:i/>
          <w:sz w:val="28"/>
          <w:szCs w:val="24"/>
        </w:rPr>
        <w:t>铺设通风管道，与表层覆盖膜形成密闭堆肥设施，发酵升温后利用烟囱效应实现堆体内自然通风</w:t>
      </w:r>
      <w:r w:rsidR="004B23C3">
        <w:rPr>
          <w:i/>
          <w:sz w:val="28"/>
          <w:szCs w:val="24"/>
        </w:rPr>
        <w:t>。</w:t>
      </w:r>
    </w:p>
    <w:p w:rsidR="0027074B" w:rsidRDefault="004B23C3">
      <w:pPr>
        <w:pStyle w:val="13"/>
        <w:ind w:firstLine="562"/>
        <w:rPr>
          <w:color w:val="auto"/>
        </w:rPr>
      </w:pPr>
      <w:r>
        <w:rPr>
          <w:b/>
          <w:bCs/>
          <w:color w:val="auto"/>
        </w:rPr>
        <w:t>理由及依据</w:t>
      </w:r>
      <w:r>
        <w:rPr>
          <w:color w:val="auto"/>
        </w:rPr>
        <w:t>：本标准的无动力通风针对堆肥过程中的氧气供给，</w:t>
      </w:r>
      <w:r w:rsidR="00E23E94">
        <w:rPr>
          <w:rFonts w:hint="eastAsia"/>
          <w:color w:val="auto"/>
        </w:rPr>
        <w:t>主要通过</w:t>
      </w:r>
      <w:proofErr w:type="gramStart"/>
      <w:r w:rsidR="00E23E94">
        <w:rPr>
          <w:rFonts w:hint="eastAsia"/>
          <w:color w:val="auto"/>
        </w:rPr>
        <w:t>给堆体</w:t>
      </w:r>
      <w:proofErr w:type="gramEnd"/>
      <w:r w:rsidR="00E23E94">
        <w:rPr>
          <w:rFonts w:hint="eastAsia"/>
          <w:color w:val="auto"/>
        </w:rPr>
        <w:t>底部铺设通风管道，并结合堆体表层覆盖膜，形成密闭环境，</w:t>
      </w:r>
      <w:proofErr w:type="gramStart"/>
      <w:r w:rsidR="00E23E94">
        <w:rPr>
          <w:rFonts w:hint="eastAsia"/>
          <w:color w:val="auto"/>
        </w:rPr>
        <w:t>当堆体内</w:t>
      </w:r>
      <w:proofErr w:type="gramEnd"/>
      <w:r w:rsidR="00E23E94">
        <w:rPr>
          <w:rFonts w:hint="eastAsia"/>
          <w:color w:val="auto"/>
        </w:rPr>
        <w:t>部发酵升温时，通风管道内部空气由高温向低温处流动，通过烟囱效应实现无动力通风，因此定义为“</w:t>
      </w:r>
      <w:r w:rsidR="00E23E94">
        <w:t>在堆体底部铺设通风管道，与表层覆盖膜形成密闭堆肥设施，发酵升温后利用烟囱效</w:t>
      </w:r>
      <w:r w:rsidR="00E23E94">
        <w:lastRenderedPageBreak/>
        <w:t>应实现堆体内自然通风</w:t>
      </w:r>
      <w:r w:rsidR="00E23E94">
        <w:rPr>
          <w:rFonts w:hint="eastAsia"/>
          <w:color w:val="auto"/>
        </w:rPr>
        <w:t>”。</w:t>
      </w:r>
    </w:p>
    <w:p w:rsidR="0027074B" w:rsidRDefault="004B23C3">
      <w:pPr>
        <w:autoSpaceDE w:val="0"/>
        <w:autoSpaceDN w:val="0"/>
        <w:adjustRightInd/>
        <w:snapToGrid/>
        <w:spacing w:line="240" w:lineRule="auto"/>
        <w:ind w:left="561" w:firstLineChars="0" w:firstLine="0"/>
        <w:outlineLvl w:val="2"/>
        <w:rPr>
          <w:rFonts w:eastAsia="楷体"/>
          <w:b/>
          <w:bCs/>
          <w:color w:val="000000"/>
          <w:sz w:val="28"/>
          <w:szCs w:val="28"/>
        </w:rPr>
      </w:pPr>
      <w:r>
        <w:rPr>
          <w:rFonts w:eastAsia="楷体"/>
          <w:b/>
          <w:bCs/>
          <w:color w:val="000000"/>
          <w:sz w:val="28"/>
          <w:szCs w:val="28"/>
        </w:rPr>
        <w:t xml:space="preserve">2. </w:t>
      </w:r>
      <w:r>
        <w:rPr>
          <w:rFonts w:eastAsia="楷体"/>
          <w:b/>
          <w:bCs/>
          <w:color w:val="000000"/>
          <w:sz w:val="28"/>
          <w:szCs w:val="28"/>
        </w:rPr>
        <w:t>场地要求</w:t>
      </w:r>
    </w:p>
    <w:p w:rsidR="0027074B" w:rsidRDefault="004B23C3">
      <w:pPr>
        <w:ind w:firstLine="562"/>
        <w:rPr>
          <w:rFonts w:eastAsia="宋体"/>
          <w:b/>
          <w:bCs/>
          <w:sz w:val="28"/>
          <w:szCs w:val="28"/>
        </w:rPr>
      </w:pPr>
      <w:r>
        <w:rPr>
          <w:rFonts w:eastAsia="宋体"/>
          <w:b/>
          <w:bCs/>
          <w:sz w:val="28"/>
          <w:szCs w:val="28"/>
        </w:rPr>
        <w:t>标准内容：</w:t>
      </w:r>
    </w:p>
    <w:p w:rsidR="0027074B" w:rsidRDefault="004B23C3">
      <w:pPr>
        <w:ind w:firstLine="560"/>
        <w:rPr>
          <w:rFonts w:eastAsia="宋体"/>
          <w:i/>
          <w:color w:val="000000"/>
          <w:sz w:val="28"/>
        </w:rPr>
      </w:pPr>
      <w:r>
        <w:rPr>
          <w:rFonts w:eastAsia="宋体"/>
          <w:i/>
          <w:color w:val="000000"/>
          <w:sz w:val="28"/>
        </w:rPr>
        <w:t xml:space="preserve">4.1 </w:t>
      </w:r>
      <w:r>
        <w:rPr>
          <w:rFonts w:eastAsia="宋体"/>
          <w:i/>
          <w:color w:val="000000"/>
          <w:sz w:val="28"/>
        </w:rPr>
        <w:t>粪污秸秆就地堆肥宜利用养殖场粪污贮存区、田间地头空闲区等场地，应遵循就地、就近肥料化利用原则。</w:t>
      </w:r>
    </w:p>
    <w:p w:rsidR="0027074B" w:rsidRDefault="004B23C3">
      <w:pPr>
        <w:ind w:firstLine="560"/>
        <w:rPr>
          <w:rFonts w:eastAsia="宋体"/>
          <w:i/>
          <w:color w:val="000000"/>
          <w:sz w:val="28"/>
        </w:rPr>
      </w:pPr>
      <w:r>
        <w:rPr>
          <w:rFonts w:eastAsia="宋体"/>
          <w:i/>
          <w:color w:val="000000"/>
          <w:sz w:val="28"/>
        </w:rPr>
        <w:t xml:space="preserve">4.2 </w:t>
      </w:r>
      <w:r>
        <w:rPr>
          <w:rFonts w:eastAsia="宋体"/>
          <w:i/>
          <w:color w:val="000000"/>
          <w:sz w:val="28"/>
        </w:rPr>
        <w:t>粪污秸秆就地堆肥场地应距离功能地表水体</w:t>
      </w:r>
      <w:r>
        <w:rPr>
          <w:rFonts w:eastAsia="宋体"/>
          <w:i/>
          <w:color w:val="000000"/>
          <w:sz w:val="28"/>
        </w:rPr>
        <w:t>400 m</w:t>
      </w:r>
      <w:r>
        <w:rPr>
          <w:rFonts w:eastAsia="宋体"/>
          <w:i/>
          <w:color w:val="000000"/>
          <w:sz w:val="28"/>
        </w:rPr>
        <w:t>以上。</w:t>
      </w:r>
    </w:p>
    <w:p w:rsidR="0027074B" w:rsidRDefault="004B23C3">
      <w:pPr>
        <w:ind w:firstLine="560"/>
        <w:rPr>
          <w:rFonts w:eastAsia="宋体"/>
          <w:color w:val="000000"/>
          <w:sz w:val="28"/>
        </w:rPr>
      </w:pPr>
      <w:r>
        <w:rPr>
          <w:rFonts w:eastAsia="宋体"/>
          <w:i/>
          <w:color w:val="000000"/>
          <w:sz w:val="28"/>
        </w:rPr>
        <w:t xml:space="preserve">4.3 </w:t>
      </w:r>
      <w:r>
        <w:rPr>
          <w:rFonts w:eastAsia="宋体"/>
          <w:i/>
          <w:color w:val="000000"/>
          <w:sz w:val="28"/>
        </w:rPr>
        <w:t>粪污秸秆就地堆肥场地应采取防雨水、防径流和防渗漏等措施。</w:t>
      </w:r>
    </w:p>
    <w:p w:rsidR="0027074B" w:rsidRDefault="004B23C3">
      <w:pPr>
        <w:ind w:firstLine="562"/>
        <w:rPr>
          <w:rFonts w:eastAsia="宋体"/>
          <w:b/>
          <w:bCs/>
          <w:sz w:val="28"/>
        </w:rPr>
      </w:pPr>
      <w:r>
        <w:rPr>
          <w:rFonts w:eastAsia="宋体"/>
          <w:b/>
          <w:bCs/>
          <w:sz w:val="28"/>
        </w:rPr>
        <w:t>理由及依据：</w:t>
      </w:r>
      <w:r>
        <w:rPr>
          <w:rFonts w:eastAsia="宋体"/>
          <w:b/>
          <w:bCs/>
          <w:sz w:val="28"/>
        </w:rPr>
        <w:t xml:space="preserve"> </w:t>
      </w:r>
    </w:p>
    <w:p w:rsidR="0027074B" w:rsidRDefault="004B23C3">
      <w:pPr>
        <w:pStyle w:val="13"/>
        <w:ind w:firstLine="560"/>
        <w:rPr>
          <w:color w:val="auto"/>
        </w:rPr>
      </w:pPr>
      <w:r>
        <w:rPr>
          <w:color w:val="auto"/>
        </w:rPr>
        <w:t>（</w:t>
      </w:r>
      <w:r>
        <w:rPr>
          <w:color w:val="auto"/>
        </w:rPr>
        <w:t>1</w:t>
      </w:r>
      <w:r>
        <w:rPr>
          <w:color w:val="auto"/>
        </w:rPr>
        <w:t>）遵循就地、就近肥料化利用原则的依据</w:t>
      </w:r>
    </w:p>
    <w:p w:rsidR="0027074B" w:rsidRDefault="004B23C3">
      <w:pPr>
        <w:ind w:firstLine="560"/>
        <w:rPr>
          <w:rFonts w:eastAsia="宋体"/>
          <w:color w:val="EE0000"/>
          <w:sz w:val="28"/>
        </w:rPr>
      </w:pPr>
      <w:r>
        <w:rPr>
          <w:rFonts w:eastAsia="宋体"/>
          <w:sz w:val="28"/>
        </w:rPr>
        <w:t>固体粪污覆膜堆肥</w:t>
      </w:r>
      <w:r w:rsidR="00E23E94">
        <w:rPr>
          <w:rFonts w:eastAsia="宋体" w:hint="eastAsia"/>
          <w:sz w:val="28"/>
        </w:rPr>
        <w:t>技术主要</w:t>
      </w:r>
      <w:r>
        <w:rPr>
          <w:rFonts w:eastAsia="宋体"/>
          <w:sz w:val="28"/>
        </w:rPr>
        <w:t>适用于就地就近处理</w:t>
      </w:r>
      <w:r w:rsidR="00E23E94">
        <w:rPr>
          <w:rFonts w:eastAsia="宋体" w:hint="eastAsia"/>
          <w:sz w:val="28"/>
        </w:rPr>
        <w:t>场景</w:t>
      </w:r>
      <w:r>
        <w:rPr>
          <w:rFonts w:eastAsia="宋体"/>
          <w:sz w:val="28"/>
        </w:rPr>
        <w:t>，因此选择在养殖场粪污贮存区、田间地头空闲区等场地，便于固体粪污的处理与利用。参考《畜禽粪便无害化处理技术规范》（</w:t>
      </w:r>
      <w:r>
        <w:rPr>
          <w:rFonts w:eastAsia="宋体"/>
          <w:sz w:val="28"/>
        </w:rPr>
        <w:t>GB/T 36195-2018</w:t>
      </w:r>
      <w:r>
        <w:rPr>
          <w:rFonts w:eastAsia="宋体"/>
          <w:sz w:val="28"/>
        </w:rPr>
        <w:t>）</w:t>
      </w:r>
      <w:r w:rsidR="00E23E94">
        <w:rPr>
          <w:rFonts w:eastAsia="宋体" w:hint="eastAsia"/>
          <w:sz w:val="28"/>
        </w:rPr>
        <w:t>中关于粪污处理场地要求，</w:t>
      </w:r>
      <w:r w:rsidR="00E23E94">
        <w:rPr>
          <w:rFonts w:eastAsia="宋体"/>
          <w:sz w:val="28"/>
        </w:rPr>
        <w:t>本</w:t>
      </w:r>
      <w:r w:rsidR="00E23E94">
        <w:rPr>
          <w:rFonts w:eastAsia="宋体" w:hint="eastAsia"/>
          <w:sz w:val="28"/>
        </w:rPr>
        <w:t>文件规定</w:t>
      </w:r>
      <w:r>
        <w:rPr>
          <w:rFonts w:eastAsia="宋体"/>
          <w:sz w:val="28"/>
        </w:rPr>
        <w:t>覆膜堆肥场所应当</w:t>
      </w:r>
      <w:r w:rsidR="00E23E94">
        <w:rPr>
          <w:rFonts w:eastAsia="宋体" w:hint="eastAsia"/>
          <w:sz w:val="28"/>
        </w:rPr>
        <w:t>结合种养废弃物处理需求，</w:t>
      </w:r>
      <w:r>
        <w:rPr>
          <w:rFonts w:eastAsia="宋体"/>
          <w:sz w:val="28"/>
        </w:rPr>
        <w:t>根据</w:t>
      </w:r>
      <w:r w:rsidR="00E23E94">
        <w:rPr>
          <w:rFonts w:eastAsia="宋体" w:hint="eastAsia"/>
          <w:sz w:val="28"/>
        </w:rPr>
        <w:t>废弃物所在区域周边</w:t>
      </w:r>
      <w:r>
        <w:rPr>
          <w:rFonts w:eastAsia="宋体"/>
          <w:sz w:val="28"/>
        </w:rPr>
        <w:t>自然环境、地形特点等，选择养殖场粪污贮存区、田间地头空闲区等场地</w:t>
      </w:r>
      <w:r w:rsidR="00E23E94">
        <w:rPr>
          <w:rFonts w:eastAsia="宋体" w:hint="eastAsia"/>
          <w:sz w:val="28"/>
        </w:rPr>
        <w:t>进行就地处理</w:t>
      </w:r>
      <w:r>
        <w:rPr>
          <w:rFonts w:eastAsia="宋体"/>
          <w:sz w:val="28"/>
        </w:rPr>
        <w:t>。</w:t>
      </w:r>
    </w:p>
    <w:p w:rsidR="0027074B" w:rsidRDefault="004B23C3">
      <w:pPr>
        <w:pStyle w:val="13"/>
        <w:ind w:firstLine="560"/>
        <w:rPr>
          <w:color w:val="auto"/>
        </w:rPr>
      </w:pPr>
      <w:r>
        <w:rPr>
          <w:color w:val="auto"/>
        </w:rPr>
        <w:t>（</w:t>
      </w:r>
      <w:r>
        <w:rPr>
          <w:color w:val="auto"/>
        </w:rPr>
        <w:t>2</w:t>
      </w:r>
      <w:r>
        <w:rPr>
          <w:color w:val="auto"/>
        </w:rPr>
        <w:t>）粪污秸秆就地堆肥场地应距离功能地表水体</w:t>
      </w:r>
      <w:r>
        <w:rPr>
          <w:color w:val="auto"/>
        </w:rPr>
        <w:t>400 m</w:t>
      </w:r>
      <w:r>
        <w:rPr>
          <w:color w:val="auto"/>
        </w:rPr>
        <w:t>以上的依据</w:t>
      </w:r>
    </w:p>
    <w:p w:rsidR="0027074B" w:rsidRDefault="004B23C3">
      <w:pPr>
        <w:ind w:firstLine="560"/>
        <w:rPr>
          <w:rFonts w:eastAsia="宋体"/>
          <w:sz w:val="28"/>
          <w:szCs w:val="28"/>
        </w:rPr>
      </w:pPr>
      <w:r>
        <w:rPr>
          <w:rFonts w:eastAsia="宋体"/>
          <w:sz w:val="28"/>
          <w:szCs w:val="28"/>
        </w:rPr>
        <w:t>覆膜堆肥过程中会产生含有氮、磷及有机物的渗滤液，若堆肥场地距离水体过近，渗滤液可通过土壤渗透或地表径流进入水体，导致水体富营养化或水质恶化，设置</w:t>
      </w:r>
      <w:r>
        <w:rPr>
          <w:rFonts w:eastAsia="宋体"/>
          <w:sz w:val="28"/>
          <w:szCs w:val="28"/>
        </w:rPr>
        <w:t>400</w:t>
      </w:r>
      <w:r>
        <w:rPr>
          <w:rFonts w:eastAsia="宋体"/>
          <w:sz w:val="28"/>
          <w:szCs w:val="28"/>
        </w:rPr>
        <w:t>米安全距离可有效降低环境风险。此外，堆肥过程还会释放氨气、硫化氢等异味气体，并滋生病原菌、寄生虫卵等生物污染物，远离水体能够减少这些污染物通过空气或水体传播，从而保护周边生态环境与居民健康。参考《畜禽养殖业污染防治技术规范》（</w:t>
      </w:r>
      <w:r>
        <w:rPr>
          <w:rFonts w:eastAsia="宋体"/>
          <w:sz w:val="28"/>
          <w:szCs w:val="28"/>
        </w:rPr>
        <w:t>HJ/81-2001</w:t>
      </w:r>
      <w:r>
        <w:rPr>
          <w:rFonts w:eastAsia="宋体"/>
          <w:sz w:val="28"/>
          <w:szCs w:val="28"/>
        </w:rPr>
        <w:t>）中</w:t>
      </w:r>
      <w:r>
        <w:rPr>
          <w:rFonts w:eastAsia="宋体"/>
          <w:sz w:val="28"/>
          <w:szCs w:val="28"/>
        </w:rPr>
        <w:t>5.2</w:t>
      </w:r>
      <w:r>
        <w:rPr>
          <w:rFonts w:eastAsia="宋体"/>
          <w:sz w:val="28"/>
          <w:szCs w:val="28"/>
        </w:rPr>
        <w:t>对畜禽粪便贮存规定的</w:t>
      </w:r>
      <w:r>
        <w:rPr>
          <w:rFonts w:eastAsia="宋体"/>
          <w:sz w:val="28"/>
          <w:szCs w:val="28"/>
        </w:rPr>
        <w:t>“</w:t>
      </w:r>
      <w:r>
        <w:rPr>
          <w:rFonts w:eastAsia="宋体"/>
          <w:sz w:val="28"/>
          <w:szCs w:val="28"/>
        </w:rPr>
        <w:t>贮</w:t>
      </w:r>
      <w:r>
        <w:rPr>
          <w:rFonts w:eastAsia="宋体"/>
          <w:sz w:val="28"/>
          <w:szCs w:val="28"/>
        </w:rPr>
        <w:lastRenderedPageBreak/>
        <w:t>存设施的位置必须远离各类功能地表水体</w:t>
      </w:r>
      <w:r>
        <w:rPr>
          <w:rFonts w:eastAsia="宋体" w:hint="eastAsia"/>
          <w:sz w:val="28"/>
          <w:szCs w:val="28"/>
        </w:rPr>
        <w:t>，</w:t>
      </w:r>
      <w:r>
        <w:rPr>
          <w:rFonts w:eastAsia="宋体"/>
          <w:sz w:val="28"/>
          <w:szCs w:val="28"/>
        </w:rPr>
        <w:t>距离不得小于</w:t>
      </w:r>
      <w:r>
        <w:rPr>
          <w:rFonts w:eastAsia="宋体"/>
          <w:sz w:val="28"/>
          <w:szCs w:val="28"/>
        </w:rPr>
        <w:t>400m”</w:t>
      </w:r>
      <w:r>
        <w:rPr>
          <w:rFonts w:eastAsia="宋体"/>
          <w:sz w:val="28"/>
          <w:szCs w:val="28"/>
        </w:rPr>
        <w:t>。本标准制定粪污秸秆就地堆肥场地应距离功能地表水体</w:t>
      </w:r>
      <w:r>
        <w:rPr>
          <w:rFonts w:eastAsia="宋体"/>
          <w:sz w:val="28"/>
          <w:szCs w:val="28"/>
        </w:rPr>
        <w:t>400 m</w:t>
      </w:r>
      <w:r>
        <w:rPr>
          <w:rFonts w:eastAsia="宋体"/>
          <w:sz w:val="28"/>
          <w:szCs w:val="28"/>
        </w:rPr>
        <w:t>以上。</w:t>
      </w:r>
    </w:p>
    <w:p w:rsidR="0027074B" w:rsidRDefault="004B23C3">
      <w:pPr>
        <w:ind w:firstLine="560"/>
        <w:rPr>
          <w:rFonts w:eastAsia="宋体"/>
          <w:sz w:val="28"/>
          <w:szCs w:val="28"/>
        </w:rPr>
      </w:pPr>
      <w:r>
        <w:rPr>
          <w:rFonts w:eastAsia="宋体"/>
          <w:sz w:val="28"/>
          <w:szCs w:val="28"/>
        </w:rPr>
        <w:t>（</w:t>
      </w:r>
      <w:r>
        <w:rPr>
          <w:rFonts w:eastAsia="宋体"/>
          <w:sz w:val="28"/>
          <w:szCs w:val="28"/>
        </w:rPr>
        <w:t>3</w:t>
      </w:r>
      <w:r>
        <w:rPr>
          <w:rFonts w:eastAsia="宋体"/>
          <w:sz w:val="28"/>
          <w:szCs w:val="28"/>
        </w:rPr>
        <w:t>）</w:t>
      </w:r>
      <w:r>
        <w:rPr>
          <w:rFonts w:eastAsia="宋体"/>
          <w:iCs/>
          <w:color w:val="000000"/>
          <w:sz w:val="28"/>
        </w:rPr>
        <w:t>粪污秸秆就地堆肥场地应采取防雨水、防径流和防渗漏等措施的依据。</w:t>
      </w:r>
    </w:p>
    <w:p w:rsidR="0027074B" w:rsidRDefault="004B23C3">
      <w:pPr>
        <w:ind w:firstLine="560"/>
        <w:rPr>
          <w:rFonts w:eastAsia="宋体"/>
          <w:color w:val="EE0000"/>
          <w:sz w:val="28"/>
        </w:rPr>
      </w:pPr>
      <w:r>
        <w:rPr>
          <w:rFonts w:eastAsia="宋体"/>
          <w:sz w:val="28"/>
        </w:rPr>
        <w:t>覆膜堆肥场所防雨可避免雨水稀释粪污、降低有机质含量，同时减少渗滤液的产生量，减轻处理负担。此外，还能避免雨水冲刷导致氮、磷等养分随径流流失，进而引发水体富营养化。防径流可避免粪污颗粒冲入周边沟渠与河流，从而防止水体污染。同时，还能避免径流污染影响作物生长环境，以及通过土壤渗透造成地下水污染。防渗透可避免</w:t>
      </w:r>
      <w:proofErr w:type="gramStart"/>
      <w:r>
        <w:rPr>
          <w:rFonts w:eastAsia="宋体"/>
          <w:sz w:val="28"/>
        </w:rPr>
        <w:t>粪污和秸秆</w:t>
      </w:r>
      <w:proofErr w:type="gramEnd"/>
      <w:r>
        <w:rPr>
          <w:rFonts w:eastAsia="宋体"/>
          <w:sz w:val="28"/>
        </w:rPr>
        <w:t>堆肥过程中产生的高浓度有机物、氨氮及病原体的渗滤液通过土壤孔隙渗入地下水，从而造成持久性污染。参考《畜禽粪便无害化处理技术规范》（</w:t>
      </w:r>
      <w:r>
        <w:rPr>
          <w:rFonts w:eastAsia="宋体"/>
          <w:sz w:val="28"/>
        </w:rPr>
        <w:t>GB/T 36195-2018</w:t>
      </w:r>
      <w:r>
        <w:rPr>
          <w:rFonts w:eastAsia="宋体"/>
          <w:sz w:val="28"/>
        </w:rPr>
        <w:t>），《畜禽粪便贮存设施设计要求》（</w:t>
      </w:r>
      <w:r>
        <w:rPr>
          <w:rFonts w:eastAsia="宋体"/>
          <w:sz w:val="28"/>
        </w:rPr>
        <w:t>GB/T 27622-2011</w:t>
      </w:r>
      <w:r>
        <w:rPr>
          <w:rFonts w:eastAsia="宋体"/>
          <w:sz w:val="28"/>
        </w:rPr>
        <w:t>），《畜禽养殖场</w:t>
      </w:r>
      <w:r>
        <w:rPr>
          <w:rFonts w:eastAsia="宋体"/>
          <w:sz w:val="28"/>
        </w:rPr>
        <w:t>(</w:t>
      </w:r>
      <w:r>
        <w:rPr>
          <w:rFonts w:eastAsia="宋体"/>
          <w:sz w:val="28"/>
        </w:rPr>
        <w:t>户</w:t>
      </w:r>
      <w:r>
        <w:rPr>
          <w:rFonts w:eastAsia="宋体"/>
          <w:sz w:val="28"/>
        </w:rPr>
        <w:t>)</w:t>
      </w:r>
      <w:r>
        <w:rPr>
          <w:rFonts w:eastAsia="宋体"/>
          <w:sz w:val="28"/>
        </w:rPr>
        <w:t>粪污处理设施建设技术指南》（农办牧</w:t>
      </w:r>
      <w:r>
        <w:rPr>
          <w:rFonts w:eastAsia="宋体"/>
          <w:sz w:val="28"/>
        </w:rPr>
        <w:t>[2022]19</w:t>
      </w:r>
      <w:r>
        <w:rPr>
          <w:rFonts w:eastAsia="宋体"/>
          <w:sz w:val="28"/>
        </w:rPr>
        <w:t>号）中</w:t>
      </w:r>
      <w:r>
        <w:rPr>
          <w:rFonts w:eastAsia="宋体"/>
          <w:sz w:val="28"/>
        </w:rPr>
        <w:t>5.1</w:t>
      </w:r>
      <w:r>
        <w:rPr>
          <w:rFonts w:eastAsia="宋体"/>
          <w:sz w:val="28"/>
        </w:rPr>
        <w:t>设施设备总体要求规定的</w:t>
      </w:r>
      <w:r>
        <w:rPr>
          <w:rFonts w:eastAsia="宋体"/>
          <w:sz w:val="28"/>
        </w:rPr>
        <w:t>“</w:t>
      </w:r>
      <w:r>
        <w:rPr>
          <w:rFonts w:eastAsia="宋体"/>
          <w:sz w:val="28"/>
        </w:rPr>
        <w:t>满足防雨、防渗、防溢流和安全防护要求</w:t>
      </w:r>
      <w:r>
        <w:rPr>
          <w:rFonts w:eastAsia="宋体"/>
          <w:sz w:val="28"/>
        </w:rPr>
        <w:t>”</w:t>
      </w:r>
      <w:r>
        <w:rPr>
          <w:rFonts w:eastAsia="宋体"/>
          <w:sz w:val="28"/>
        </w:rPr>
        <w:t>以及《畜禽养殖场粪污资源化利用设施技术要求》（</w:t>
      </w:r>
      <w:r>
        <w:rPr>
          <w:rFonts w:eastAsia="宋体"/>
          <w:sz w:val="28"/>
        </w:rPr>
        <w:t>NY/T 4754-2025</w:t>
      </w:r>
      <w:r>
        <w:rPr>
          <w:rFonts w:eastAsia="宋体"/>
          <w:sz w:val="28"/>
        </w:rPr>
        <w:t>）中</w:t>
      </w:r>
      <w:r>
        <w:rPr>
          <w:rFonts w:eastAsia="宋体"/>
          <w:sz w:val="28"/>
        </w:rPr>
        <w:t>5.3</w:t>
      </w:r>
      <w:r>
        <w:rPr>
          <w:rFonts w:eastAsia="宋体"/>
          <w:sz w:val="28"/>
        </w:rPr>
        <w:t>对粪污暂存设施规定的</w:t>
      </w:r>
      <w:r>
        <w:rPr>
          <w:rFonts w:eastAsia="宋体"/>
          <w:sz w:val="28"/>
        </w:rPr>
        <w:t>“</w:t>
      </w:r>
      <w:r>
        <w:rPr>
          <w:rFonts w:eastAsia="宋体"/>
          <w:sz w:val="28"/>
        </w:rPr>
        <w:t>粪污暂存池（场）应满足防渗、防雨、防溢流的要求</w:t>
      </w:r>
      <w:r>
        <w:rPr>
          <w:rFonts w:eastAsia="宋体"/>
          <w:sz w:val="28"/>
        </w:rPr>
        <w:t>”</w:t>
      </w:r>
      <w:r>
        <w:rPr>
          <w:rFonts w:eastAsia="宋体"/>
          <w:sz w:val="28"/>
        </w:rPr>
        <w:t>。本标准制定覆膜堆肥场所应</w:t>
      </w:r>
      <w:r>
        <w:rPr>
          <w:rFonts w:eastAsia="宋体" w:hint="eastAsia"/>
          <w:sz w:val="28"/>
        </w:rPr>
        <w:t>符合</w:t>
      </w:r>
      <w:r>
        <w:rPr>
          <w:rFonts w:eastAsia="宋体"/>
          <w:sz w:val="28"/>
        </w:rPr>
        <w:t>防雨、防渗</w:t>
      </w:r>
      <w:r>
        <w:rPr>
          <w:rFonts w:eastAsia="宋体" w:hint="eastAsia"/>
          <w:sz w:val="28"/>
        </w:rPr>
        <w:t>漏</w:t>
      </w:r>
      <w:r>
        <w:rPr>
          <w:rFonts w:eastAsia="宋体"/>
          <w:sz w:val="28"/>
        </w:rPr>
        <w:t>和防径流，满足安全和环保等要求。</w:t>
      </w:r>
    </w:p>
    <w:p w:rsidR="0027074B" w:rsidRDefault="004B23C3">
      <w:pPr>
        <w:autoSpaceDE w:val="0"/>
        <w:autoSpaceDN w:val="0"/>
        <w:adjustRightInd/>
        <w:snapToGrid/>
        <w:spacing w:line="240" w:lineRule="auto"/>
        <w:ind w:left="561" w:firstLineChars="0" w:firstLine="0"/>
        <w:outlineLvl w:val="2"/>
        <w:rPr>
          <w:rFonts w:eastAsia="楷体"/>
          <w:b/>
          <w:bCs/>
          <w:color w:val="000000"/>
          <w:sz w:val="28"/>
          <w:szCs w:val="28"/>
        </w:rPr>
      </w:pPr>
      <w:r>
        <w:rPr>
          <w:rFonts w:eastAsia="楷体"/>
          <w:b/>
          <w:bCs/>
          <w:color w:val="000000"/>
          <w:sz w:val="28"/>
          <w:szCs w:val="28"/>
        </w:rPr>
        <w:t xml:space="preserve">3. </w:t>
      </w:r>
      <w:r>
        <w:rPr>
          <w:rFonts w:eastAsia="楷体"/>
          <w:b/>
          <w:bCs/>
          <w:color w:val="000000"/>
          <w:sz w:val="28"/>
          <w:szCs w:val="28"/>
        </w:rPr>
        <w:t>原料要求</w:t>
      </w:r>
    </w:p>
    <w:p w:rsidR="0027074B" w:rsidRDefault="004B23C3">
      <w:pPr>
        <w:ind w:firstLine="562"/>
        <w:rPr>
          <w:rFonts w:eastAsia="宋体"/>
          <w:b/>
          <w:bCs/>
          <w:sz w:val="28"/>
          <w:szCs w:val="28"/>
        </w:rPr>
      </w:pPr>
      <w:bookmarkStart w:id="17" w:name="OLE_LINK6"/>
      <w:r>
        <w:rPr>
          <w:rFonts w:eastAsia="宋体"/>
          <w:b/>
          <w:bCs/>
          <w:sz w:val="28"/>
          <w:szCs w:val="28"/>
        </w:rPr>
        <w:t>标准内容：</w:t>
      </w:r>
    </w:p>
    <w:p w:rsidR="0027074B" w:rsidRDefault="004B23C3">
      <w:pPr>
        <w:ind w:firstLine="560"/>
        <w:rPr>
          <w:rFonts w:eastAsia="宋体"/>
          <w:i/>
          <w:color w:val="000000"/>
          <w:sz w:val="28"/>
        </w:rPr>
      </w:pPr>
      <w:r>
        <w:rPr>
          <w:rFonts w:eastAsia="宋体"/>
          <w:i/>
          <w:color w:val="000000"/>
          <w:sz w:val="28"/>
        </w:rPr>
        <w:t xml:space="preserve">5.1 </w:t>
      </w:r>
      <w:r>
        <w:rPr>
          <w:rFonts w:eastAsia="宋体"/>
          <w:i/>
          <w:color w:val="000000"/>
          <w:sz w:val="28"/>
        </w:rPr>
        <w:t>堆肥原料应就近取材，主要包括畜禽</w:t>
      </w:r>
      <w:proofErr w:type="gramStart"/>
      <w:r>
        <w:rPr>
          <w:rFonts w:eastAsia="宋体"/>
          <w:i/>
          <w:color w:val="000000"/>
          <w:sz w:val="28"/>
        </w:rPr>
        <w:t>粪污和作物</w:t>
      </w:r>
      <w:proofErr w:type="gramEnd"/>
      <w:r>
        <w:rPr>
          <w:rFonts w:eastAsia="宋体"/>
          <w:i/>
          <w:color w:val="000000"/>
          <w:sz w:val="28"/>
        </w:rPr>
        <w:t>秸秆。</w:t>
      </w:r>
    </w:p>
    <w:p w:rsidR="0027074B" w:rsidRDefault="004B23C3">
      <w:pPr>
        <w:ind w:firstLine="560"/>
        <w:rPr>
          <w:rFonts w:eastAsia="宋体"/>
          <w:i/>
          <w:color w:val="000000"/>
          <w:sz w:val="28"/>
        </w:rPr>
      </w:pPr>
      <w:r>
        <w:rPr>
          <w:rFonts w:eastAsia="宋体"/>
          <w:i/>
          <w:color w:val="000000"/>
          <w:sz w:val="28"/>
        </w:rPr>
        <w:t xml:space="preserve">5.2 </w:t>
      </w:r>
      <w:r>
        <w:rPr>
          <w:rFonts w:eastAsia="宋体"/>
          <w:i/>
          <w:color w:val="000000"/>
          <w:sz w:val="28"/>
        </w:rPr>
        <w:t>堆肥原料主料由一种或几种畜禽粪污组成，</w:t>
      </w:r>
      <w:proofErr w:type="gramStart"/>
      <w:r>
        <w:rPr>
          <w:rFonts w:eastAsia="宋体"/>
          <w:i/>
          <w:color w:val="000000"/>
          <w:sz w:val="28"/>
        </w:rPr>
        <w:t>含水率宜不</w:t>
      </w:r>
      <w:proofErr w:type="gramEnd"/>
      <w:r>
        <w:rPr>
          <w:rFonts w:eastAsia="宋体"/>
          <w:i/>
          <w:color w:val="000000"/>
          <w:sz w:val="28"/>
        </w:rPr>
        <w:t>高于</w:t>
      </w:r>
      <w:r>
        <w:rPr>
          <w:rFonts w:eastAsia="宋体"/>
          <w:i/>
          <w:color w:val="000000"/>
          <w:sz w:val="28"/>
        </w:rPr>
        <w:t>80%</w:t>
      </w:r>
      <w:r>
        <w:rPr>
          <w:rFonts w:eastAsia="宋体"/>
          <w:i/>
          <w:color w:val="000000"/>
          <w:sz w:val="28"/>
        </w:rPr>
        <w:t>。</w:t>
      </w:r>
    </w:p>
    <w:p w:rsidR="0027074B" w:rsidRDefault="004B23C3">
      <w:pPr>
        <w:ind w:firstLine="560"/>
        <w:rPr>
          <w:rFonts w:eastAsia="宋体"/>
          <w:i/>
          <w:sz w:val="28"/>
          <w:szCs w:val="28"/>
        </w:rPr>
      </w:pPr>
      <w:r>
        <w:rPr>
          <w:rFonts w:eastAsia="宋体"/>
          <w:i/>
          <w:color w:val="000000"/>
          <w:sz w:val="28"/>
        </w:rPr>
        <w:t xml:space="preserve">5.3 </w:t>
      </w:r>
      <w:r>
        <w:rPr>
          <w:rFonts w:eastAsia="宋体"/>
          <w:i/>
          <w:color w:val="000000"/>
          <w:sz w:val="28"/>
        </w:rPr>
        <w:t>堆肥原料辅料由一种或几种农作物秸秆组成，粒径宜不大于</w:t>
      </w:r>
      <w:r>
        <w:rPr>
          <w:rFonts w:eastAsia="宋体"/>
          <w:i/>
          <w:color w:val="000000"/>
          <w:sz w:val="28"/>
        </w:rPr>
        <w:lastRenderedPageBreak/>
        <w:t>5 cm</w:t>
      </w:r>
      <w:r>
        <w:rPr>
          <w:rFonts w:eastAsia="宋体"/>
          <w:i/>
          <w:color w:val="000000"/>
          <w:sz w:val="28"/>
        </w:rPr>
        <w:t>。</w:t>
      </w:r>
    </w:p>
    <w:p w:rsidR="0027074B" w:rsidRDefault="004B23C3">
      <w:pPr>
        <w:pStyle w:val="13"/>
        <w:ind w:firstLine="562"/>
        <w:rPr>
          <w:color w:val="auto"/>
          <w:szCs w:val="28"/>
        </w:rPr>
      </w:pPr>
      <w:bookmarkStart w:id="18" w:name="OLE_LINK8"/>
      <w:bookmarkStart w:id="19" w:name="OLE_LINK2"/>
      <w:bookmarkStart w:id="20" w:name="OLE_LINK10"/>
      <w:bookmarkEnd w:id="17"/>
      <w:r>
        <w:rPr>
          <w:b/>
          <w:bCs/>
          <w:color w:val="auto"/>
        </w:rPr>
        <w:t>理由及依据：</w:t>
      </w:r>
    </w:p>
    <w:p w:rsidR="0027074B" w:rsidRDefault="004B23C3">
      <w:pPr>
        <w:pStyle w:val="13"/>
        <w:numPr>
          <w:ilvl w:val="0"/>
          <w:numId w:val="1"/>
        </w:numPr>
        <w:ind w:firstLine="560"/>
        <w:rPr>
          <w:color w:val="auto"/>
          <w:szCs w:val="28"/>
        </w:rPr>
      </w:pPr>
      <w:r>
        <w:rPr>
          <w:color w:val="auto"/>
          <w:szCs w:val="28"/>
        </w:rPr>
        <w:t>堆肥原料应就近取材，主要包括畜禽</w:t>
      </w:r>
      <w:proofErr w:type="gramStart"/>
      <w:r>
        <w:rPr>
          <w:color w:val="auto"/>
          <w:szCs w:val="28"/>
        </w:rPr>
        <w:t>粪污和作物</w:t>
      </w:r>
      <w:proofErr w:type="gramEnd"/>
      <w:r>
        <w:rPr>
          <w:color w:val="auto"/>
          <w:szCs w:val="28"/>
        </w:rPr>
        <w:t>秸秆的依据。</w:t>
      </w:r>
    </w:p>
    <w:p w:rsidR="0027074B" w:rsidRDefault="004B23C3">
      <w:pPr>
        <w:pStyle w:val="13"/>
        <w:ind w:firstLine="560"/>
        <w:rPr>
          <w:color w:val="auto"/>
          <w:szCs w:val="32"/>
        </w:rPr>
      </w:pPr>
      <w:r>
        <w:rPr>
          <w:color w:val="auto"/>
          <w:szCs w:val="32"/>
        </w:rPr>
        <w:t>堆肥原料就近取材可缩短运输距离，降低能耗与二次污染风险。畜禽</w:t>
      </w:r>
      <w:proofErr w:type="gramStart"/>
      <w:r>
        <w:rPr>
          <w:color w:val="auto"/>
          <w:szCs w:val="32"/>
        </w:rPr>
        <w:t>粪污与秸秆</w:t>
      </w:r>
      <w:proofErr w:type="gramEnd"/>
      <w:r w:rsidR="001541AC">
        <w:rPr>
          <w:rFonts w:hint="eastAsia"/>
          <w:color w:val="auto"/>
          <w:szCs w:val="32"/>
        </w:rPr>
        <w:t>随意</w:t>
      </w:r>
      <w:r>
        <w:rPr>
          <w:color w:val="auto"/>
          <w:szCs w:val="32"/>
        </w:rPr>
        <w:t>堆放会导致蚊蝇滋生、病原体传播，经雨水冲刷会污染地表水和地下水。因此，本标准制定就近堆肥化处理能实现污染源集中控制，有效防止污染扩散。</w:t>
      </w:r>
    </w:p>
    <w:p w:rsidR="0027074B" w:rsidRDefault="004B23C3">
      <w:pPr>
        <w:pStyle w:val="13"/>
        <w:numPr>
          <w:ilvl w:val="0"/>
          <w:numId w:val="1"/>
        </w:numPr>
        <w:ind w:firstLine="560"/>
        <w:rPr>
          <w:color w:val="auto"/>
          <w:szCs w:val="28"/>
        </w:rPr>
      </w:pPr>
      <w:r>
        <w:rPr>
          <w:color w:val="auto"/>
          <w:szCs w:val="28"/>
        </w:rPr>
        <w:t>堆肥原料主料由一种或几种畜禽粪污组成，</w:t>
      </w:r>
      <w:proofErr w:type="gramStart"/>
      <w:r>
        <w:rPr>
          <w:color w:val="auto"/>
          <w:szCs w:val="28"/>
        </w:rPr>
        <w:t>含水率宜不</w:t>
      </w:r>
      <w:proofErr w:type="gramEnd"/>
      <w:r>
        <w:rPr>
          <w:color w:val="auto"/>
          <w:szCs w:val="28"/>
        </w:rPr>
        <w:t>高于</w:t>
      </w:r>
      <w:r>
        <w:rPr>
          <w:color w:val="auto"/>
          <w:szCs w:val="28"/>
        </w:rPr>
        <w:t>80%</w:t>
      </w:r>
      <w:r>
        <w:rPr>
          <w:color w:val="auto"/>
          <w:szCs w:val="28"/>
        </w:rPr>
        <w:t>的依据</w:t>
      </w:r>
    </w:p>
    <w:p w:rsidR="0027074B" w:rsidRDefault="004B23C3">
      <w:pPr>
        <w:pStyle w:val="13"/>
        <w:ind w:firstLine="560"/>
        <w:rPr>
          <w:color w:val="auto"/>
          <w:szCs w:val="28"/>
        </w:rPr>
      </w:pPr>
      <w:r>
        <w:rPr>
          <w:color w:val="auto"/>
          <w:szCs w:val="28"/>
        </w:rPr>
        <w:t>堆肥原料主料以畜禽粪</w:t>
      </w:r>
      <w:proofErr w:type="gramStart"/>
      <w:r>
        <w:rPr>
          <w:color w:val="auto"/>
          <w:szCs w:val="28"/>
        </w:rPr>
        <w:t>污为主</w:t>
      </w:r>
      <w:proofErr w:type="gramEnd"/>
      <w:r>
        <w:rPr>
          <w:color w:val="auto"/>
          <w:szCs w:val="28"/>
        </w:rPr>
        <w:t>且</w:t>
      </w:r>
      <w:proofErr w:type="gramStart"/>
      <w:r>
        <w:rPr>
          <w:color w:val="auto"/>
          <w:szCs w:val="28"/>
        </w:rPr>
        <w:t>含水率宜不</w:t>
      </w:r>
      <w:proofErr w:type="gramEnd"/>
      <w:r>
        <w:rPr>
          <w:color w:val="auto"/>
          <w:szCs w:val="28"/>
        </w:rPr>
        <w:t>高于</w:t>
      </w:r>
      <w:r>
        <w:rPr>
          <w:color w:val="auto"/>
          <w:szCs w:val="28"/>
        </w:rPr>
        <w:t>80%</w:t>
      </w:r>
      <w:r>
        <w:rPr>
          <w:color w:val="auto"/>
          <w:szCs w:val="28"/>
        </w:rPr>
        <w:t>，主要基于微生物活性、通风条件及实际操作的协同需求。微生物分解有机物需适宜水分，但含水率超过</w:t>
      </w:r>
      <w:r>
        <w:rPr>
          <w:color w:val="auto"/>
          <w:szCs w:val="28"/>
        </w:rPr>
        <w:t>80%</w:t>
      </w:r>
      <w:r w:rsidR="001541AC">
        <w:rPr>
          <w:rFonts w:hint="eastAsia"/>
          <w:color w:val="auto"/>
          <w:szCs w:val="28"/>
        </w:rPr>
        <w:t>的粪污接近于液体形态，不利于堆肥发酵，堆体</w:t>
      </w:r>
      <w:r>
        <w:rPr>
          <w:color w:val="auto"/>
          <w:szCs w:val="28"/>
        </w:rPr>
        <w:t>温</w:t>
      </w:r>
      <w:proofErr w:type="gramStart"/>
      <w:r>
        <w:rPr>
          <w:color w:val="auto"/>
          <w:szCs w:val="28"/>
        </w:rPr>
        <w:t>度难以</w:t>
      </w:r>
      <w:proofErr w:type="gramEnd"/>
      <w:r>
        <w:rPr>
          <w:color w:val="auto"/>
          <w:szCs w:val="28"/>
        </w:rPr>
        <w:t>升至</w:t>
      </w:r>
      <w:r>
        <w:rPr>
          <w:color w:val="auto"/>
          <w:szCs w:val="28"/>
        </w:rPr>
        <w:t>55℃</w:t>
      </w:r>
      <w:r>
        <w:rPr>
          <w:color w:val="auto"/>
          <w:szCs w:val="28"/>
        </w:rPr>
        <w:t>以上，同时渗滤液产生量增加，引发氮磷流失和地下水污染风险。此外，高含水率堆料易黏结成块，增加翻堆难度，</w:t>
      </w:r>
      <w:proofErr w:type="gramStart"/>
      <w:r>
        <w:rPr>
          <w:color w:val="auto"/>
          <w:szCs w:val="28"/>
        </w:rPr>
        <w:t>破坏堆体结构稳定性</w:t>
      </w:r>
      <w:proofErr w:type="gramEnd"/>
      <w:r>
        <w:rPr>
          <w:color w:val="auto"/>
          <w:szCs w:val="28"/>
        </w:rPr>
        <w:t>，需额外添加大量秸秆、木屑等干物料调节水分，显著提升成本。规模化堆肥实践表明，将畜禽</w:t>
      </w:r>
      <w:proofErr w:type="gramStart"/>
      <w:r>
        <w:rPr>
          <w:color w:val="auto"/>
          <w:szCs w:val="28"/>
        </w:rPr>
        <w:t>粪污与辅料</w:t>
      </w:r>
      <w:proofErr w:type="gramEnd"/>
      <w:r>
        <w:rPr>
          <w:color w:val="auto"/>
          <w:szCs w:val="28"/>
        </w:rPr>
        <w:t>混合后含水率控制在</w:t>
      </w:r>
      <w:r>
        <w:rPr>
          <w:color w:val="auto"/>
          <w:szCs w:val="28"/>
        </w:rPr>
        <w:t>60%</w:t>
      </w:r>
      <w:r>
        <w:rPr>
          <w:color w:val="auto"/>
          <w:szCs w:val="28"/>
        </w:rPr>
        <w:t>左右，可兼顾好氧发酵效率与养分保留，而初始含水率超过</w:t>
      </w:r>
      <w:r>
        <w:rPr>
          <w:color w:val="auto"/>
          <w:szCs w:val="28"/>
        </w:rPr>
        <w:t>80%</w:t>
      </w:r>
      <w:r>
        <w:rPr>
          <w:color w:val="auto"/>
          <w:szCs w:val="28"/>
        </w:rPr>
        <w:t>的原料需通过强制通风或吸水性材料调节，否则易导致设备堵塞或发酵失败。因此，本标准制定控制畜禽粪污含水率不高于</w:t>
      </w:r>
      <w:r>
        <w:rPr>
          <w:color w:val="auto"/>
          <w:szCs w:val="28"/>
        </w:rPr>
        <w:t>80%</w:t>
      </w:r>
      <w:r>
        <w:rPr>
          <w:color w:val="auto"/>
          <w:szCs w:val="28"/>
        </w:rPr>
        <w:t>的要求。</w:t>
      </w:r>
    </w:p>
    <w:p w:rsidR="0027074B" w:rsidRDefault="004B23C3">
      <w:pPr>
        <w:pStyle w:val="13"/>
        <w:numPr>
          <w:ilvl w:val="0"/>
          <w:numId w:val="1"/>
        </w:numPr>
        <w:ind w:firstLine="560"/>
        <w:rPr>
          <w:color w:val="auto"/>
          <w:szCs w:val="28"/>
        </w:rPr>
      </w:pPr>
      <w:r>
        <w:rPr>
          <w:color w:val="auto"/>
          <w:szCs w:val="28"/>
        </w:rPr>
        <w:t>堆肥原料辅料由一种或几种农作物秸秆组成，粒径宜不大</w:t>
      </w:r>
      <w:r>
        <w:rPr>
          <w:color w:val="auto"/>
          <w:szCs w:val="28"/>
        </w:rPr>
        <w:lastRenderedPageBreak/>
        <w:t>于</w:t>
      </w:r>
      <w:r>
        <w:rPr>
          <w:color w:val="auto"/>
          <w:szCs w:val="28"/>
        </w:rPr>
        <w:t>5 cm</w:t>
      </w:r>
    </w:p>
    <w:bookmarkEnd w:id="18"/>
    <w:bookmarkEnd w:id="19"/>
    <w:bookmarkEnd w:id="20"/>
    <w:p w:rsidR="0027074B" w:rsidRDefault="004B23C3">
      <w:pPr>
        <w:pStyle w:val="13"/>
        <w:ind w:firstLine="560"/>
      </w:pPr>
      <w:r>
        <w:t>细碎秸秆（</w:t>
      </w:r>
      <w:r>
        <w:t>≤5 cm</w:t>
      </w:r>
      <w:r>
        <w:t>）可显著</w:t>
      </w:r>
      <w:proofErr w:type="gramStart"/>
      <w:r>
        <w:t>提升堆体孔隙率</w:t>
      </w:r>
      <w:proofErr w:type="gramEnd"/>
      <w:r>
        <w:t>至</w:t>
      </w:r>
      <w:r>
        <w:t>30%-50%</w:t>
      </w:r>
      <w:r>
        <w:t>，优化透气性并减少渗滤液产生，同时通过扩大表面积加速微生物分解，使腐熟周期缩短</w:t>
      </w:r>
      <w:r>
        <w:t>15-20</w:t>
      </w:r>
      <w:r>
        <w:t>天。与畜禽粪污混合时，能更高效调节碳氮比至</w:t>
      </w:r>
      <w:r>
        <w:t>20:1-30:1</w:t>
      </w:r>
      <w:r>
        <w:t>，避免氮素流失或发酵停滞。此外，小粒径秸秆可保障原料混合均匀性，延长高温期</w:t>
      </w:r>
      <w:r>
        <w:t>5-7</w:t>
      </w:r>
      <w:r>
        <w:t>天以彻底灭菌，且便于运输储存，降低破碎能耗与设备损耗。</w:t>
      </w:r>
      <w:r w:rsidR="001541AC">
        <w:rPr>
          <w:rFonts w:hint="eastAsia"/>
        </w:rPr>
        <w:t>考虑到实际堆肥工艺和生产需求，</w:t>
      </w:r>
      <w:r w:rsidR="001541AC">
        <w:t>本标准</w:t>
      </w:r>
      <w:r w:rsidR="001541AC">
        <w:rPr>
          <w:rFonts w:hint="eastAsia"/>
        </w:rPr>
        <w:t>提出</w:t>
      </w:r>
      <w:r>
        <w:t>堆肥原料辅料由一种或几种农作物秸秆组成，粒径宜不大于</w:t>
      </w:r>
      <w:r>
        <w:t>5 cm</w:t>
      </w:r>
      <w:r>
        <w:t>的要求，兼顾堆肥效率、操作成本及环境效益，通过快速</w:t>
      </w:r>
      <w:r w:rsidR="001541AC">
        <w:rPr>
          <w:rFonts w:hint="eastAsia"/>
        </w:rPr>
        <w:t>发酵</w:t>
      </w:r>
      <w:r>
        <w:t>腐熟</w:t>
      </w:r>
      <w:r w:rsidR="001541AC">
        <w:rPr>
          <w:rFonts w:hint="eastAsia"/>
        </w:rPr>
        <w:t>促进粪肥就近还田</w:t>
      </w:r>
      <w:r>
        <w:t>。</w:t>
      </w:r>
    </w:p>
    <w:p w:rsidR="0027074B" w:rsidRDefault="004B23C3">
      <w:pPr>
        <w:autoSpaceDE w:val="0"/>
        <w:autoSpaceDN w:val="0"/>
        <w:adjustRightInd/>
        <w:snapToGrid/>
        <w:spacing w:line="240" w:lineRule="auto"/>
        <w:ind w:left="561" w:firstLineChars="0" w:firstLine="0"/>
        <w:outlineLvl w:val="2"/>
        <w:rPr>
          <w:rFonts w:eastAsia="楷体"/>
          <w:b/>
          <w:bCs/>
          <w:color w:val="000000"/>
          <w:sz w:val="28"/>
          <w:szCs w:val="28"/>
        </w:rPr>
      </w:pPr>
      <w:r>
        <w:rPr>
          <w:rFonts w:eastAsia="楷体"/>
          <w:b/>
          <w:bCs/>
          <w:color w:val="000000"/>
          <w:sz w:val="28"/>
          <w:szCs w:val="28"/>
        </w:rPr>
        <w:t xml:space="preserve">4. </w:t>
      </w:r>
      <w:r>
        <w:rPr>
          <w:rFonts w:eastAsia="楷体"/>
          <w:b/>
          <w:bCs/>
          <w:color w:val="000000"/>
          <w:sz w:val="28"/>
          <w:szCs w:val="28"/>
        </w:rPr>
        <w:t>覆膜堆肥设施</w:t>
      </w:r>
    </w:p>
    <w:p w:rsidR="0027074B" w:rsidRDefault="004B23C3">
      <w:pPr>
        <w:ind w:firstLine="562"/>
        <w:rPr>
          <w:rFonts w:eastAsia="宋体"/>
          <w:b/>
          <w:bCs/>
          <w:sz w:val="28"/>
          <w:szCs w:val="28"/>
        </w:rPr>
      </w:pPr>
      <w:r>
        <w:rPr>
          <w:rFonts w:eastAsia="宋体"/>
          <w:b/>
          <w:bCs/>
          <w:sz w:val="28"/>
          <w:szCs w:val="28"/>
        </w:rPr>
        <w:t>标准内容：</w:t>
      </w:r>
    </w:p>
    <w:p w:rsidR="0027074B" w:rsidRDefault="004B23C3">
      <w:pPr>
        <w:pStyle w:val="13"/>
        <w:ind w:firstLine="560"/>
        <w:rPr>
          <w:i/>
        </w:rPr>
      </w:pPr>
      <w:r>
        <w:rPr>
          <w:i/>
        </w:rPr>
        <w:t xml:space="preserve">6.1 </w:t>
      </w:r>
      <w:r>
        <w:rPr>
          <w:i/>
        </w:rPr>
        <w:t>覆膜堆肥设施由防渗膜、通气管和覆盖膜组成。</w:t>
      </w:r>
    </w:p>
    <w:p w:rsidR="0027074B" w:rsidRDefault="004B23C3">
      <w:pPr>
        <w:pStyle w:val="13"/>
        <w:ind w:firstLine="560"/>
        <w:rPr>
          <w:i/>
        </w:rPr>
      </w:pPr>
      <w:r>
        <w:rPr>
          <w:i/>
        </w:rPr>
        <w:t xml:space="preserve">6.2 </w:t>
      </w:r>
      <w:proofErr w:type="gramStart"/>
      <w:r>
        <w:rPr>
          <w:i/>
        </w:rPr>
        <w:t>防渗膜应具有</w:t>
      </w:r>
      <w:proofErr w:type="gramEnd"/>
      <w:r>
        <w:rPr>
          <w:i/>
        </w:rPr>
        <w:t>防渗漏、耐酸碱、耐高温等特性，铺设</w:t>
      </w:r>
      <w:proofErr w:type="gramStart"/>
      <w:r>
        <w:rPr>
          <w:i/>
        </w:rPr>
        <w:t>于堆体</w:t>
      </w:r>
      <w:proofErr w:type="gramEnd"/>
      <w:r>
        <w:rPr>
          <w:i/>
        </w:rPr>
        <w:t>底部。</w:t>
      </w:r>
    </w:p>
    <w:p w:rsidR="0027074B" w:rsidRDefault="004B23C3">
      <w:pPr>
        <w:pStyle w:val="13"/>
        <w:ind w:firstLine="560"/>
        <w:rPr>
          <w:i/>
        </w:rPr>
      </w:pPr>
      <w:r>
        <w:rPr>
          <w:i/>
        </w:rPr>
        <w:t xml:space="preserve">6.3 </w:t>
      </w:r>
      <w:proofErr w:type="gramStart"/>
      <w:r>
        <w:rPr>
          <w:i/>
        </w:rPr>
        <w:t>通气管宜选用</w:t>
      </w:r>
      <w:proofErr w:type="gramEnd"/>
      <w:r>
        <w:rPr>
          <w:i/>
        </w:rPr>
        <w:t>UPVC</w:t>
      </w:r>
      <w:r>
        <w:rPr>
          <w:i/>
        </w:rPr>
        <w:t>、</w:t>
      </w:r>
      <w:r>
        <w:rPr>
          <w:i/>
        </w:rPr>
        <w:t>PP</w:t>
      </w:r>
      <w:r>
        <w:rPr>
          <w:i/>
        </w:rPr>
        <w:t>等管材，管体上开孔，孔径不大于</w:t>
      </w:r>
      <w:r>
        <w:rPr>
          <w:i/>
        </w:rPr>
        <w:t>10 mm</w:t>
      </w:r>
      <w:r>
        <w:rPr>
          <w:i/>
        </w:rPr>
        <w:t>，间距不大于</w:t>
      </w:r>
      <w:r>
        <w:rPr>
          <w:i/>
        </w:rPr>
        <w:t>5 cm</w:t>
      </w:r>
      <w:r>
        <w:rPr>
          <w:i/>
        </w:rPr>
        <w:t>。</w:t>
      </w:r>
    </w:p>
    <w:p w:rsidR="0027074B" w:rsidRDefault="004B23C3">
      <w:pPr>
        <w:pStyle w:val="13"/>
        <w:ind w:firstLine="560"/>
        <w:rPr>
          <w:i/>
        </w:rPr>
      </w:pPr>
      <w:r>
        <w:rPr>
          <w:i/>
        </w:rPr>
        <w:t xml:space="preserve">6.4 </w:t>
      </w:r>
      <w:r>
        <w:rPr>
          <w:i/>
        </w:rPr>
        <w:t>覆盖膜具有防雨水、耐酸碱、耐高温、易透气等特性，</w:t>
      </w:r>
      <w:proofErr w:type="gramStart"/>
      <w:r>
        <w:rPr>
          <w:i/>
        </w:rPr>
        <w:t>铺设于堆体表</w:t>
      </w:r>
      <w:proofErr w:type="gramEnd"/>
      <w:r>
        <w:rPr>
          <w:i/>
        </w:rPr>
        <w:t>面。</w:t>
      </w:r>
    </w:p>
    <w:p w:rsidR="0027074B" w:rsidRDefault="004B23C3">
      <w:pPr>
        <w:pStyle w:val="13"/>
        <w:ind w:firstLineChars="71"/>
      </w:pPr>
      <w:r>
        <w:rPr>
          <w:b/>
          <w:bCs/>
        </w:rPr>
        <w:t>理由及依据：</w:t>
      </w:r>
    </w:p>
    <w:p w:rsidR="0027074B" w:rsidRDefault="004B23C3">
      <w:pPr>
        <w:pStyle w:val="13"/>
        <w:ind w:firstLine="560"/>
        <w:rPr>
          <w:szCs w:val="21"/>
        </w:rPr>
      </w:pPr>
      <w:r>
        <w:t>（</w:t>
      </w:r>
      <w:r>
        <w:t>1</w:t>
      </w:r>
      <w:r>
        <w:t>）覆膜</w:t>
      </w:r>
      <w:r>
        <w:rPr>
          <w:szCs w:val="21"/>
        </w:rPr>
        <w:t>堆肥设施由防渗膜、通气管和覆盖膜组成的依据</w:t>
      </w:r>
    </w:p>
    <w:p w:rsidR="0027074B" w:rsidRDefault="00F60DA2">
      <w:pPr>
        <w:pStyle w:val="13"/>
        <w:ind w:firstLine="560"/>
        <w:rPr>
          <w:szCs w:val="21"/>
        </w:rPr>
      </w:pPr>
      <w:r>
        <w:rPr>
          <w:szCs w:val="21"/>
        </w:rPr>
        <w:t>覆膜堆肥设施采用防渗膜、通气管和覆盖膜的组成，</w:t>
      </w:r>
      <w:r>
        <w:rPr>
          <w:rFonts w:hint="eastAsia"/>
          <w:szCs w:val="21"/>
        </w:rPr>
        <w:t>可形成</w:t>
      </w:r>
      <w:r w:rsidR="004B23C3">
        <w:rPr>
          <w:szCs w:val="21"/>
        </w:rPr>
        <w:t>封闭</w:t>
      </w:r>
      <w:r w:rsidR="004B23C3">
        <w:rPr>
          <w:szCs w:val="21"/>
        </w:rPr>
        <w:lastRenderedPageBreak/>
        <w:t>式的堆肥系统。防渗膜可通过物理阻隔防止渗滤液污染土壤和地下水，同时截留氮磷等养分避免流失。通气</w:t>
      </w:r>
      <w:proofErr w:type="gramStart"/>
      <w:r w:rsidR="004B23C3">
        <w:rPr>
          <w:szCs w:val="21"/>
        </w:rPr>
        <w:t>管形成</w:t>
      </w:r>
      <w:proofErr w:type="gramEnd"/>
      <w:r w:rsidR="004B23C3">
        <w:rPr>
          <w:szCs w:val="21"/>
        </w:rPr>
        <w:t>氧气输送通道，保障堆体内部好氧发酵所需的氧气浓度</w:t>
      </w:r>
      <w:r w:rsidR="004B23C3">
        <w:rPr>
          <w:szCs w:val="21"/>
        </w:rPr>
        <w:t>≥5%</w:t>
      </w:r>
      <w:r w:rsidR="004B23C3">
        <w:rPr>
          <w:szCs w:val="21"/>
        </w:rPr>
        <w:t>，并通过排气调节温度与湿度，延长高温期</w:t>
      </w:r>
      <w:r w:rsidR="004B23C3">
        <w:rPr>
          <w:szCs w:val="21"/>
        </w:rPr>
        <w:t>3-5</w:t>
      </w:r>
      <w:r w:rsidR="004B23C3">
        <w:rPr>
          <w:szCs w:val="21"/>
        </w:rPr>
        <w:t>天，提升有机物</w:t>
      </w:r>
      <w:proofErr w:type="gramStart"/>
      <w:r w:rsidR="004B23C3">
        <w:rPr>
          <w:szCs w:val="21"/>
        </w:rPr>
        <w:t>降解率</w:t>
      </w:r>
      <w:proofErr w:type="gramEnd"/>
      <w:r w:rsidR="004B23C3">
        <w:rPr>
          <w:szCs w:val="21"/>
        </w:rPr>
        <w:t>20%-30%</w:t>
      </w:r>
      <w:r w:rsidR="004B23C3">
        <w:rPr>
          <w:szCs w:val="21"/>
        </w:rPr>
        <w:t>。覆盖膜则通过保温、保湿及阻隔臭气与病原菌，</w:t>
      </w:r>
      <w:proofErr w:type="gramStart"/>
      <w:r w:rsidR="004B23C3">
        <w:rPr>
          <w:szCs w:val="21"/>
        </w:rPr>
        <w:t>维持堆体含水</w:t>
      </w:r>
      <w:proofErr w:type="gramEnd"/>
      <w:r w:rsidR="004B23C3">
        <w:rPr>
          <w:szCs w:val="21"/>
        </w:rPr>
        <w:t>率在</w:t>
      </w:r>
      <w:r w:rsidR="004B23C3">
        <w:rPr>
          <w:szCs w:val="21"/>
        </w:rPr>
        <w:t>50%-65%</w:t>
      </w:r>
      <w:r w:rsidR="004B23C3">
        <w:rPr>
          <w:szCs w:val="21"/>
        </w:rPr>
        <w:t>的理想范围，并降低对周边环境的污染。</w:t>
      </w:r>
      <w:r w:rsidR="00E92BEF">
        <w:rPr>
          <w:rFonts w:hint="eastAsia"/>
          <w:szCs w:val="21"/>
        </w:rPr>
        <w:t>基于以上结论，</w:t>
      </w:r>
      <w:r w:rsidR="004B23C3">
        <w:rPr>
          <w:rFonts w:hint="eastAsia"/>
          <w:szCs w:val="21"/>
        </w:rPr>
        <w:t>本标准制定覆膜堆肥设施应由防渗膜、通气管和覆盖膜组成。</w:t>
      </w:r>
    </w:p>
    <w:p w:rsidR="0027074B" w:rsidRDefault="004B23C3">
      <w:pPr>
        <w:pStyle w:val="13"/>
        <w:ind w:firstLine="560"/>
        <w:rPr>
          <w:szCs w:val="21"/>
        </w:rPr>
      </w:pPr>
      <w:r>
        <w:rPr>
          <w:szCs w:val="21"/>
        </w:rPr>
        <w:t>（</w:t>
      </w:r>
      <w:r>
        <w:rPr>
          <w:szCs w:val="21"/>
        </w:rPr>
        <w:t>2</w:t>
      </w:r>
      <w:r>
        <w:rPr>
          <w:szCs w:val="21"/>
        </w:rPr>
        <w:t>）</w:t>
      </w:r>
      <w:proofErr w:type="gramStart"/>
      <w:r>
        <w:t>防渗膜应具有</w:t>
      </w:r>
      <w:proofErr w:type="gramEnd"/>
      <w:r>
        <w:t>防渗漏、耐酸碱、耐高温等特性</w:t>
      </w:r>
      <w:r>
        <w:rPr>
          <w:szCs w:val="21"/>
        </w:rPr>
        <w:t>，铺设</w:t>
      </w:r>
      <w:proofErr w:type="gramStart"/>
      <w:r>
        <w:rPr>
          <w:szCs w:val="21"/>
        </w:rPr>
        <w:t>于堆体</w:t>
      </w:r>
      <w:proofErr w:type="gramEnd"/>
      <w:r>
        <w:rPr>
          <w:szCs w:val="21"/>
        </w:rPr>
        <w:t>底部的依据</w:t>
      </w:r>
    </w:p>
    <w:p w:rsidR="0027074B" w:rsidRDefault="004B23C3">
      <w:pPr>
        <w:pStyle w:val="13"/>
        <w:ind w:firstLine="560"/>
        <w:rPr>
          <w:color w:val="0000FF"/>
          <w:szCs w:val="21"/>
        </w:rPr>
      </w:pPr>
      <w:proofErr w:type="gramStart"/>
      <w:r>
        <w:rPr>
          <w:szCs w:val="21"/>
        </w:rPr>
        <w:t>堆体在</w:t>
      </w:r>
      <w:proofErr w:type="gramEnd"/>
      <w:r>
        <w:rPr>
          <w:szCs w:val="21"/>
        </w:rPr>
        <w:t>分解过程中会产生高浓度有机物、重金属及病原体的渗滤液。若</w:t>
      </w:r>
      <w:proofErr w:type="gramStart"/>
      <w:r>
        <w:rPr>
          <w:szCs w:val="21"/>
        </w:rPr>
        <w:t>防渗膜防渗漏</w:t>
      </w:r>
      <w:proofErr w:type="gramEnd"/>
      <w:r>
        <w:rPr>
          <w:szCs w:val="21"/>
        </w:rPr>
        <w:t>性能不足，渗滤液可能渗入土壤和地下水，造成不可逆的环境污染。防渗膜可通过阻隔渗滤液外泄，避免养分流失，提高堆肥成品质量。</w:t>
      </w:r>
      <w:proofErr w:type="gramStart"/>
      <w:r>
        <w:rPr>
          <w:szCs w:val="21"/>
        </w:rPr>
        <w:t>同时堆体渗滤液</w:t>
      </w:r>
      <w:proofErr w:type="gramEnd"/>
      <w:r>
        <w:rPr>
          <w:szCs w:val="21"/>
        </w:rPr>
        <w:t>通常呈酸性或碱性，含腐殖酸、硫化物等腐蚀性物质。普通材料在酸碱环境中易老化、开裂，而耐酸碱防渗膜通过分子链三维网状结构及表面致密结晶层，可长期使用。堆肥或有机废弃物分解过程中会产生大量热量，堆体内部温度可达</w:t>
      </w:r>
      <w:r>
        <w:rPr>
          <w:szCs w:val="21"/>
        </w:rPr>
        <w:t>55-70℃</w:t>
      </w:r>
      <w:r>
        <w:rPr>
          <w:szCs w:val="21"/>
        </w:rPr>
        <w:t>。若</w:t>
      </w:r>
      <w:proofErr w:type="gramStart"/>
      <w:r>
        <w:rPr>
          <w:szCs w:val="21"/>
        </w:rPr>
        <w:t>防渗膜耐高温</w:t>
      </w:r>
      <w:proofErr w:type="gramEnd"/>
      <w:r>
        <w:rPr>
          <w:szCs w:val="21"/>
        </w:rPr>
        <w:t>性能不足，可能因热变形导致密封失效。耐高温防渗膜可在</w:t>
      </w:r>
      <w:r>
        <w:rPr>
          <w:szCs w:val="21"/>
        </w:rPr>
        <w:t>-30℃</w:t>
      </w:r>
      <w:r>
        <w:rPr>
          <w:szCs w:val="21"/>
        </w:rPr>
        <w:t>至</w:t>
      </w:r>
      <w:r>
        <w:rPr>
          <w:szCs w:val="21"/>
        </w:rPr>
        <w:t>60℃</w:t>
      </w:r>
      <w:r>
        <w:rPr>
          <w:szCs w:val="21"/>
        </w:rPr>
        <w:t>环境中保持弹性模量变化幅度＜</w:t>
      </w:r>
      <w:r>
        <w:rPr>
          <w:szCs w:val="21"/>
        </w:rPr>
        <w:t>15%</w:t>
      </w:r>
      <w:r>
        <w:rPr>
          <w:szCs w:val="21"/>
        </w:rPr>
        <w:t>，适应堆体温度波动</w:t>
      </w:r>
      <w:r>
        <w:rPr>
          <w:rFonts w:hint="eastAsia"/>
          <w:szCs w:val="21"/>
        </w:rPr>
        <w:t>，本标准制定中防渗膜应选择具有防渗漏、耐酸碱、耐高温等特性，并铺设</w:t>
      </w:r>
      <w:proofErr w:type="gramStart"/>
      <w:r>
        <w:rPr>
          <w:rFonts w:hint="eastAsia"/>
          <w:szCs w:val="21"/>
        </w:rPr>
        <w:t>于堆体</w:t>
      </w:r>
      <w:proofErr w:type="gramEnd"/>
      <w:r>
        <w:rPr>
          <w:rFonts w:hint="eastAsia"/>
          <w:szCs w:val="21"/>
        </w:rPr>
        <w:t>底部</w:t>
      </w:r>
      <w:r>
        <w:rPr>
          <w:szCs w:val="21"/>
        </w:rPr>
        <w:t>。</w:t>
      </w:r>
    </w:p>
    <w:p w:rsidR="0027074B" w:rsidRDefault="004B23C3">
      <w:pPr>
        <w:pStyle w:val="13"/>
        <w:ind w:firstLine="560"/>
        <w:rPr>
          <w:szCs w:val="21"/>
        </w:rPr>
      </w:pPr>
      <w:r>
        <w:rPr>
          <w:szCs w:val="21"/>
        </w:rPr>
        <w:t>（</w:t>
      </w:r>
      <w:r>
        <w:rPr>
          <w:szCs w:val="21"/>
        </w:rPr>
        <w:t>3</w:t>
      </w:r>
      <w:r>
        <w:rPr>
          <w:szCs w:val="21"/>
        </w:rPr>
        <w:t>）</w:t>
      </w:r>
      <w:proofErr w:type="gramStart"/>
      <w:r>
        <w:rPr>
          <w:szCs w:val="21"/>
        </w:rPr>
        <w:t>通气管宜选用</w:t>
      </w:r>
      <w:proofErr w:type="gramEnd"/>
      <w:r>
        <w:rPr>
          <w:szCs w:val="21"/>
        </w:rPr>
        <w:t>UPVC</w:t>
      </w:r>
      <w:r>
        <w:rPr>
          <w:szCs w:val="21"/>
        </w:rPr>
        <w:t>、</w:t>
      </w:r>
      <w:r>
        <w:rPr>
          <w:szCs w:val="21"/>
        </w:rPr>
        <w:t>PP</w:t>
      </w:r>
      <w:r>
        <w:rPr>
          <w:szCs w:val="21"/>
        </w:rPr>
        <w:t>等管材，管体上开孔，孔径不大于</w:t>
      </w:r>
      <w:r>
        <w:rPr>
          <w:szCs w:val="21"/>
        </w:rPr>
        <w:t>10 mm</w:t>
      </w:r>
      <w:r>
        <w:rPr>
          <w:szCs w:val="21"/>
        </w:rPr>
        <w:t>，间距不大于</w:t>
      </w:r>
      <w:r>
        <w:rPr>
          <w:szCs w:val="21"/>
        </w:rPr>
        <w:t>5 cm</w:t>
      </w:r>
      <w:r>
        <w:rPr>
          <w:szCs w:val="21"/>
        </w:rPr>
        <w:t>的依据</w:t>
      </w:r>
    </w:p>
    <w:p w:rsidR="0027074B" w:rsidRDefault="004B23C3">
      <w:pPr>
        <w:pStyle w:val="13"/>
        <w:ind w:firstLine="560"/>
        <w:rPr>
          <w:szCs w:val="21"/>
        </w:rPr>
      </w:pPr>
      <w:r>
        <w:rPr>
          <w:szCs w:val="21"/>
        </w:rPr>
        <w:lastRenderedPageBreak/>
        <w:t>通气管选用</w:t>
      </w:r>
      <w:r>
        <w:rPr>
          <w:szCs w:val="21"/>
        </w:rPr>
        <w:t>UPVC</w:t>
      </w:r>
      <w:r>
        <w:rPr>
          <w:szCs w:val="21"/>
        </w:rPr>
        <w:t>、</w:t>
      </w:r>
      <w:r>
        <w:rPr>
          <w:szCs w:val="21"/>
        </w:rPr>
        <w:t>PP</w:t>
      </w:r>
      <w:r>
        <w:rPr>
          <w:szCs w:val="21"/>
        </w:rPr>
        <w:t>等管材，主要因其具备耐腐蚀、耐温、高机械强度及安装便捷等特性，可适应堆肥过程中酸碱环境、高温阶段及外部压力等复杂条件。管体开孔孔径不大于</w:t>
      </w:r>
      <w:r>
        <w:rPr>
          <w:szCs w:val="21"/>
        </w:rPr>
        <w:t>10mm</w:t>
      </w:r>
      <w:r>
        <w:rPr>
          <w:szCs w:val="21"/>
        </w:rPr>
        <w:t>、间距不大于</w:t>
      </w:r>
      <w:r>
        <w:rPr>
          <w:szCs w:val="21"/>
        </w:rPr>
        <w:t>5cm</w:t>
      </w:r>
      <w:r>
        <w:rPr>
          <w:szCs w:val="21"/>
        </w:rPr>
        <w:t>的设计，则</w:t>
      </w:r>
      <w:proofErr w:type="gramStart"/>
      <w:r>
        <w:rPr>
          <w:szCs w:val="21"/>
        </w:rPr>
        <w:t>基于防止</w:t>
      </w:r>
      <w:proofErr w:type="gramEnd"/>
      <w:r>
        <w:rPr>
          <w:szCs w:val="21"/>
        </w:rPr>
        <w:t>堵塞、均匀布气、提升通气效率及避免通风短路的工艺需求，既能保障氧气快速扩散</w:t>
      </w:r>
      <w:proofErr w:type="gramStart"/>
      <w:r>
        <w:rPr>
          <w:szCs w:val="21"/>
        </w:rPr>
        <w:t>至堆体</w:t>
      </w:r>
      <w:proofErr w:type="gramEnd"/>
      <w:r>
        <w:rPr>
          <w:szCs w:val="21"/>
        </w:rPr>
        <w:t>各部位以维持高温好氧发酵，又能控制温度与湿度、减少渗滤液产生，同时通过密集小孔增强结构稳定性，可延长高温期</w:t>
      </w:r>
      <w:r>
        <w:rPr>
          <w:szCs w:val="21"/>
        </w:rPr>
        <w:t>3-5</w:t>
      </w:r>
      <w:r>
        <w:rPr>
          <w:szCs w:val="21"/>
        </w:rPr>
        <w:t>天、提升有机物</w:t>
      </w:r>
      <w:proofErr w:type="gramStart"/>
      <w:r>
        <w:rPr>
          <w:szCs w:val="21"/>
        </w:rPr>
        <w:t>降解率</w:t>
      </w:r>
      <w:proofErr w:type="gramEnd"/>
      <w:r>
        <w:rPr>
          <w:szCs w:val="21"/>
        </w:rPr>
        <w:t>20%-30%</w:t>
      </w:r>
      <w:r>
        <w:rPr>
          <w:szCs w:val="21"/>
        </w:rPr>
        <w:t>。</w:t>
      </w:r>
      <w:r>
        <w:rPr>
          <w:rFonts w:hint="eastAsia"/>
          <w:szCs w:val="21"/>
        </w:rPr>
        <w:t>因此，本标准制定中通气管应选用</w:t>
      </w:r>
      <w:r>
        <w:rPr>
          <w:rFonts w:hint="eastAsia"/>
          <w:szCs w:val="21"/>
        </w:rPr>
        <w:t>UPVC</w:t>
      </w:r>
      <w:r>
        <w:rPr>
          <w:rFonts w:hint="eastAsia"/>
          <w:szCs w:val="21"/>
        </w:rPr>
        <w:t>、</w:t>
      </w:r>
      <w:r>
        <w:rPr>
          <w:rFonts w:hint="eastAsia"/>
          <w:szCs w:val="21"/>
        </w:rPr>
        <w:t>PP</w:t>
      </w:r>
      <w:r>
        <w:rPr>
          <w:rFonts w:hint="eastAsia"/>
          <w:szCs w:val="21"/>
        </w:rPr>
        <w:t>等管材，管体上开孔，孔径不大于</w:t>
      </w:r>
      <w:r>
        <w:rPr>
          <w:rFonts w:hint="eastAsia"/>
          <w:szCs w:val="21"/>
        </w:rPr>
        <w:t>10 mm</w:t>
      </w:r>
      <w:r>
        <w:rPr>
          <w:rFonts w:hint="eastAsia"/>
          <w:szCs w:val="21"/>
        </w:rPr>
        <w:t>，间距不大于</w:t>
      </w:r>
      <w:r>
        <w:rPr>
          <w:rFonts w:hint="eastAsia"/>
          <w:szCs w:val="21"/>
        </w:rPr>
        <w:t>5 cm</w:t>
      </w:r>
      <w:r>
        <w:rPr>
          <w:rFonts w:hint="eastAsia"/>
          <w:szCs w:val="21"/>
        </w:rPr>
        <w:t>。</w:t>
      </w:r>
    </w:p>
    <w:p w:rsidR="0027074B" w:rsidRDefault="004B23C3">
      <w:pPr>
        <w:pStyle w:val="13"/>
        <w:ind w:firstLine="560"/>
      </w:pPr>
      <w:r>
        <w:rPr>
          <w:szCs w:val="21"/>
        </w:rPr>
        <w:t>（</w:t>
      </w:r>
      <w:r>
        <w:rPr>
          <w:szCs w:val="21"/>
        </w:rPr>
        <w:t>4</w:t>
      </w:r>
      <w:r>
        <w:rPr>
          <w:szCs w:val="21"/>
        </w:rPr>
        <w:t>）</w:t>
      </w:r>
      <w:r>
        <w:t>覆盖膜具有防雨水、耐酸碱、耐高温、易透气等特性，</w:t>
      </w:r>
      <w:proofErr w:type="gramStart"/>
      <w:r>
        <w:t>铺设于堆体表</w:t>
      </w:r>
      <w:proofErr w:type="gramEnd"/>
      <w:r>
        <w:t>面的依据</w:t>
      </w:r>
    </w:p>
    <w:p w:rsidR="0027074B" w:rsidRDefault="004B23C3">
      <w:pPr>
        <w:pStyle w:val="13"/>
        <w:ind w:firstLine="560"/>
      </w:pPr>
      <w:r>
        <w:t>防雨水特性可避免外部水分渗入</w:t>
      </w:r>
      <w:proofErr w:type="gramStart"/>
      <w:r>
        <w:t>导致堆体含水</w:t>
      </w:r>
      <w:proofErr w:type="gramEnd"/>
      <w:r>
        <w:t>率失衡，同时减少养分流失。耐酸碱性能确保膜材在堆肥产生的酸性或碱性渗滤液环境中长期稳定，避免腐蚀穿孔。耐高温特性可防止膜体熔化变形，维持密封性。易透气性则通过微孔结构实现气体交换，既保障氧气供应促进好氧发酵，又能排出二氧化碳、氨气等废气，同时阻隔病原菌和臭气扩散。</w:t>
      </w:r>
      <w:r>
        <w:rPr>
          <w:rFonts w:hint="eastAsia"/>
        </w:rPr>
        <w:t>因此本标准制定采用的</w:t>
      </w:r>
      <w:r>
        <w:t>覆盖膜具有防雨水、耐酸碱、耐高温、易透气等特性</w:t>
      </w:r>
      <w:r>
        <w:rPr>
          <w:rFonts w:hint="eastAsia"/>
        </w:rPr>
        <w:t>。</w:t>
      </w:r>
    </w:p>
    <w:p w:rsidR="0027074B" w:rsidRDefault="004B23C3">
      <w:pPr>
        <w:autoSpaceDE w:val="0"/>
        <w:autoSpaceDN w:val="0"/>
        <w:adjustRightInd/>
        <w:snapToGrid/>
        <w:spacing w:line="240" w:lineRule="auto"/>
        <w:ind w:left="561" w:firstLineChars="0" w:firstLine="0"/>
        <w:outlineLvl w:val="2"/>
        <w:rPr>
          <w:rFonts w:eastAsia="楷体"/>
          <w:b/>
          <w:bCs/>
          <w:color w:val="000000"/>
          <w:sz w:val="28"/>
          <w:szCs w:val="28"/>
        </w:rPr>
      </w:pPr>
      <w:r>
        <w:rPr>
          <w:rFonts w:eastAsia="楷体"/>
          <w:b/>
          <w:bCs/>
          <w:color w:val="000000"/>
          <w:sz w:val="28"/>
          <w:szCs w:val="28"/>
        </w:rPr>
        <w:t xml:space="preserve">5. </w:t>
      </w:r>
      <w:r>
        <w:rPr>
          <w:rFonts w:eastAsia="楷体"/>
          <w:b/>
          <w:bCs/>
          <w:color w:val="000000"/>
          <w:sz w:val="28"/>
          <w:szCs w:val="28"/>
        </w:rPr>
        <w:t>堆肥工艺</w:t>
      </w:r>
    </w:p>
    <w:p w:rsidR="0027074B" w:rsidRDefault="004B23C3">
      <w:pPr>
        <w:ind w:firstLine="562"/>
        <w:rPr>
          <w:rFonts w:eastAsia="宋体"/>
          <w:b/>
          <w:bCs/>
          <w:sz w:val="28"/>
          <w:szCs w:val="28"/>
        </w:rPr>
      </w:pPr>
      <w:r>
        <w:rPr>
          <w:rFonts w:eastAsia="宋体"/>
          <w:b/>
          <w:bCs/>
          <w:sz w:val="28"/>
          <w:szCs w:val="28"/>
        </w:rPr>
        <w:t>标准内容：</w:t>
      </w:r>
    </w:p>
    <w:p w:rsidR="00346E6D" w:rsidRDefault="004B23C3">
      <w:pPr>
        <w:pStyle w:val="13"/>
        <w:ind w:firstLine="560"/>
        <w:rPr>
          <w:i/>
        </w:rPr>
      </w:pPr>
      <w:r>
        <w:rPr>
          <w:i/>
        </w:rPr>
        <w:t xml:space="preserve">7.1 </w:t>
      </w:r>
      <w:r w:rsidR="00346E6D">
        <w:rPr>
          <w:rFonts w:hint="eastAsia"/>
          <w:i/>
        </w:rPr>
        <w:t>工艺流程</w:t>
      </w:r>
    </w:p>
    <w:p w:rsidR="0027074B" w:rsidRDefault="004B23C3">
      <w:pPr>
        <w:pStyle w:val="13"/>
        <w:ind w:firstLine="560"/>
        <w:rPr>
          <w:i/>
        </w:rPr>
      </w:pPr>
      <w:r>
        <w:rPr>
          <w:i/>
        </w:rPr>
        <w:t>粪污秸秆就地覆膜堆肥工艺流程包括原料预处理、覆膜发酵和臭</w:t>
      </w:r>
      <w:r>
        <w:rPr>
          <w:i/>
        </w:rPr>
        <w:lastRenderedPageBreak/>
        <w:t>气控制等环节。</w:t>
      </w:r>
    </w:p>
    <w:p w:rsidR="0027074B" w:rsidRDefault="004B23C3">
      <w:pPr>
        <w:pStyle w:val="13"/>
        <w:ind w:firstLineChars="71"/>
        <w:rPr>
          <w:b/>
          <w:bCs/>
        </w:rPr>
      </w:pPr>
      <w:r>
        <w:rPr>
          <w:b/>
          <w:bCs/>
        </w:rPr>
        <w:t>理由及依据：</w:t>
      </w:r>
    </w:p>
    <w:p w:rsidR="0027074B" w:rsidRDefault="004B23C3">
      <w:pPr>
        <w:pStyle w:val="13"/>
        <w:ind w:firstLine="560"/>
        <w:rPr>
          <w:b/>
          <w:bCs/>
        </w:rPr>
      </w:pPr>
      <w:r>
        <w:t>粪污秸秆就地覆膜堆肥工艺流程中，原料预处理通过粉碎增大物料表面积、调节碳氮比至</w:t>
      </w:r>
      <w:r>
        <w:t>13:1~40:1</w:t>
      </w:r>
      <w:r>
        <w:t>和</w:t>
      </w:r>
      <w:proofErr w:type="gramStart"/>
      <w:r>
        <w:t>含水率至</w:t>
      </w:r>
      <w:proofErr w:type="gramEnd"/>
      <w:r>
        <w:t>50%~75%</w:t>
      </w:r>
      <w:r>
        <w:t>，为微生物繁殖创造条件。覆膜发酵采用防水透气膜材料构建微正压环境，结合强制通风保障氧气供应，并将</w:t>
      </w:r>
      <w:r>
        <w:t>55~65℃</w:t>
      </w:r>
      <w:r>
        <w:t>的高温期维持</w:t>
      </w:r>
      <w:r>
        <w:t>5-7</w:t>
      </w:r>
      <w:r>
        <w:t>天，从而杀灭病原菌。臭气控制则可减少厌氧环境产生臭气。本标准综合提升堆肥效率与环保性能。参考《畜禽粪便堆肥技术规范》（</w:t>
      </w:r>
      <w:r>
        <w:t>NY/T 3442-2019</w:t>
      </w:r>
      <w:r>
        <w:t>）中</w:t>
      </w:r>
      <w:r>
        <w:t>5.1</w:t>
      </w:r>
      <w:r>
        <w:t>的工艺流程，本标准</w:t>
      </w:r>
      <w:r>
        <w:rPr>
          <w:rFonts w:hint="eastAsia"/>
        </w:rPr>
        <w:t>制定</w:t>
      </w:r>
      <w:r>
        <w:t>粪污秸秆就地覆膜堆肥工艺流程包括原料预处理、覆膜发酵和臭气控制等环节。</w:t>
      </w:r>
    </w:p>
    <w:p w:rsidR="0027074B" w:rsidRDefault="004B23C3">
      <w:pPr>
        <w:ind w:firstLine="562"/>
        <w:rPr>
          <w:i/>
          <w:color w:val="000000"/>
          <w:sz w:val="28"/>
        </w:rPr>
      </w:pPr>
      <w:r>
        <w:rPr>
          <w:rFonts w:eastAsia="宋体"/>
          <w:b/>
          <w:bCs/>
          <w:sz w:val="28"/>
          <w:szCs w:val="28"/>
        </w:rPr>
        <w:t>标准内容：</w:t>
      </w:r>
    </w:p>
    <w:p w:rsidR="00346E6D" w:rsidRDefault="00346E6D">
      <w:pPr>
        <w:pStyle w:val="13"/>
        <w:ind w:firstLine="560"/>
        <w:rPr>
          <w:i/>
        </w:rPr>
      </w:pPr>
      <w:r>
        <w:rPr>
          <w:rFonts w:hint="eastAsia"/>
          <w:i/>
        </w:rPr>
        <w:t>7</w:t>
      </w:r>
      <w:r>
        <w:rPr>
          <w:i/>
        </w:rPr>
        <w:t xml:space="preserve">.2 </w:t>
      </w:r>
      <w:r>
        <w:rPr>
          <w:rFonts w:hint="eastAsia"/>
          <w:i/>
        </w:rPr>
        <w:t>原料预处理</w:t>
      </w:r>
    </w:p>
    <w:p w:rsidR="0027074B" w:rsidRDefault="004B23C3">
      <w:pPr>
        <w:pStyle w:val="13"/>
        <w:ind w:firstLine="560"/>
        <w:rPr>
          <w:i/>
        </w:rPr>
      </w:pPr>
      <w:r>
        <w:rPr>
          <w:i/>
        </w:rPr>
        <w:t xml:space="preserve">7.2.1 </w:t>
      </w:r>
      <w:r>
        <w:rPr>
          <w:i/>
        </w:rPr>
        <w:t>将畜禽粪便和秸秆等辅料混合均匀，混合后的物料</w:t>
      </w:r>
      <w:proofErr w:type="gramStart"/>
      <w:r>
        <w:rPr>
          <w:i/>
        </w:rPr>
        <w:t>含水率宜为</w:t>
      </w:r>
      <w:proofErr w:type="gramEnd"/>
      <w:r>
        <w:rPr>
          <w:i/>
        </w:rPr>
        <w:t>45% ~ 65%</w:t>
      </w:r>
      <w:r>
        <w:rPr>
          <w:i/>
        </w:rPr>
        <w:t>。</w:t>
      </w:r>
    </w:p>
    <w:p w:rsidR="0027074B" w:rsidRDefault="004B23C3">
      <w:pPr>
        <w:pStyle w:val="13"/>
        <w:ind w:firstLine="560"/>
        <w:rPr>
          <w:i/>
        </w:rPr>
      </w:pPr>
      <w:r>
        <w:rPr>
          <w:i/>
        </w:rPr>
        <w:t xml:space="preserve">7.2.2 </w:t>
      </w:r>
      <w:r>
        <w:rPr>
          <w:i/>
        </w:rPr>
        <w:t>发酵混合料堆成条垛形，</w:t>
      </w:r>
      <w:proofErr w:type="gramStart"/>
      <w:r>
        <w:rPr>
          <w:i/>
        </w:rPr>
        <w:t>堆宽</w:t>
      </w:r>
      <w:proofErr w:type="gramEnd"/>
      <w:r>
        <w:rPr>
          <w:i/>
        </w:rPr>
        <w:t>1.0 m ~ 2 m</w:t>
      </w:r>
      <w:r>
        <w:rPr>
          <w:i/>
        </w:rPr>
        <w:t>，高</w:t>
      </w:r>
      <w:r>
        <w:rPr>
          <w:i/>
        </w:rPr>
        <w:t>0.8 m ~ 1.5 m</w:t>
      </w:r>
      <w:r>
        <w:rPr>
          <w:i/>
        </w:rPr>
        <w:t>，长度不限。</w:t>
      </w:r>
    </w:p>
    <w:p w:rsidR="0027074B" w:rsidRDefault="004B23C3">
      <w:pPr>
        <w:pStyle w:val="13"/>
        <w:ind w:firstLineChars="71"/>
        <w:rPr>
          <w:b/>
          <w:bCs/>
        </w:rPr>
      </w:pPr>
      <w:r>
        <w:rPr>
          <w:b/>
          <w:bCs/>
        </w:rPr>
        <w:t>理由及依据：</w:t>
      </w:r>
    </w:p>
    <w:p w:rsidR="0027074B" w:rsidRDefault="004B23C3">
      <w:pPr>
        <w:pStyle w:val="13"/>
        <w:ind w:firstLine="560"/>
        <w:rPr>
          <w:iCs/>
        </w:rPr>
      </w:pPr>
      <w:r>
        <w:rPr>
          <w:iCs/>
        </w:rPr>
        <w:t>（</w:t>
      </w:r>
      <w:r>
        <w:rPr>
          <w:iCs/>
        </w:rPr>
        <w:t>1</w:t>
      </w:r>
      <w:r>
        <w:rPr>
          <w:iCs/>
        </w:rPr>
        <w:t>）将畜禽粪便和秸秆等辅料混合均匀，混合后的物料</w:t>
      </w:r>
      <w:proofErr w:type="gramStart"/>
      <w:r>
        <w:rPr>
          <w:iCs/>
        </w:rPr>
        <w:t>含水率宜为</w:t>
      </w:r>
      <w:proofErr w:type="gramEnd"/>
      <w:r>
        <w:rPr>
          <w:iCs/>
        </w:rPr>
        <w:t>45% ~ 65%</w:t>
      </w:r>
      <w:r>
        <w:rPr>
          <w:iCs/>
        </w:rPr>
        <w:t>的依据</w:t>
      </w:r>
    </w:p>
    <w:p w:rsidR="0027074B" w:rsidRDefault="004B23C3">
      <w:pPr>
        <w:pStyle w:val="13"/>
        <w:ind w:firstLine="560"/>
        <w:rPr>
          <w:iCs/>
        </w:rPr>
      </w:pPr>
      <w:r>
        <w:rPr>
          <w:iCs/>
        </w:rPr>
        <w:t>畜禽粪便与秸秆等辅料混合时，将含水率控制在</w:t>
      </w:r>
      <w:r>
        <w:rPr>
          <w:iCs/>
        </w:rPr>
        <w:t>45%~65%</w:t>
      </w:r>
      <w:r>
        <w:rPr>
          <w:iCs/>
        </w:rPr>
        <w:t>能维持好氧微生物的最佳代谢活性，又可</w:t>
      </w:r>
      <w:proofErr w:type="gramStart"/>
      <w:r>
        <w:rPr>
          <w:iCs/>
        </w:rPr>
        <w:t>保障堆体孔隙率</w:t>
      </w:r>
      <w:proofErr w:type="gramEnd"/>
      <w:r>
        <w:rPr>
          <w:iCs/>
        </w:rPr>
        <w:t>以实现高效通气与热量传递，确保高温阶段（</w:t>
      </w:r>
      <w:r>
        <w:rPr>
          <w:iCs/>
        </w:rPr>
        <w:t>55~65℃</w:t>
      </w:r>
      <w:r>
        <w:rPr>
          <w:iCs/>
        </w:rPr>
        <w:t>）持续</w:t>
      </w:r>
      <w:r>
        <w:rPr>
          <w:iCs/>
        </w:rPr>
        <w:t>7</w:t>
      </w:r>
      <w:r>
        <w:rPr>
          <w:iCs/>
        </w:rPr>
        <w:t>天以上以杀灭病原菌。</w:t>
      </w:r>
      <w:r>
        <w:rPr>
          <w:iCs/>
        </w:rPr>
        <w:lastRenderedPageBreak/>
        <w:t>同时参考</w:t>
      </w:r>
      <w:r>
        <w:t>《畜禽粪便堆肥技术规范》（</w:t>
      </w:r>
      <w:r>
        <w:t>NY/T 3442-2019</w:t>
      </w:r>
      <w:r>
        <w:t>）</w:t>
      </w:r>
      <w:r>
        <w:t>5.2.1</w:t>
      </w:r>
      <w:r>
        <w:t>中</w:t>
      </w:r>
      <w:r>
        <w:t>“</w:t>
      </w:r>
      <w:r>
        <w:t>将畜禽粪便和秸秆等辅料混合均匀，混合后的物料含水率宜为</w:t>
      </w:r>
      <w:r>
        <w:t>45% ~ 65%”</w:t>
      </w:r>
      <w:r>
        <w:t>。</w:t>
      </w:r>
      <w:r>
        <w:rPr>
          <w:iCs/>
        </w:rPr>
        <w:t>因此，本标准</w:t>
      </w:r>
      <w:r>
        <w:rPr>
          <w:rFonts w:hint="eastAsia"/>
          <w:iCs/>
        </w:rPr>
        <w:t>制定</w:t>
      </w:r>
      <w:r>
        <w:rPr>
          <w:iCs/>
        </w:rPr>
        <w:t>将均匀混合后的物料含水率控制在</w:t>
      </w:r>
      <w:r>
        <w:rPr>
          <w:iCs/>
        </w:rPr>
        <w:t>45% ~ 65%</w:t>
      </w:r>
      <w:r>
        <w:rPr>
          <w:iCs/>
        </w:rPr>
        <w:t>。</w:t>
      </w:r>
    </w:p>
    <w:p w:rsidR="0027074B" w:rsidRDefault="004B23C3">
      <w:pPr>
        <w:pStyle w:val="13"/>
        <w:ind w:firstLine="560"/>
      </w:pPr>
      <w:r>
        <w:rPr>
          <w:iCs/>
        </w:rPr>
        <w:t>（</w:t>
      </w:r>
      <w:r>
        <w:rPr>
          <w:iCs/>
        </w:rPr>
        <w:t>2</w:t>
      </w:r>
      <w:r>
        <w:rPr>
          <w:iCs/>
        </w:rPr>
        <w:t>）发酵混合料堆成条垛形，</w:t>
      </w:r>
      <w:proofErr w:type="gramStart"/>
      <w:r>
        <w:rPr>
          <w:iCs/>
        </w:rPr>
        <w:t>堆宽</w:t>
      </w:r>
      <w:proofErr w:type="gramEnd"/>
      <w:r>
        <w:rPr>
          <w:iCs/>
        </w:rPr>
        <w:t>1.0 m ~ 2</w:t>
      </w:r>
      <w:r w:rsidR="00301B8E">
        <w:rPr>
          <w:iCs/>
        </w:rPr>
        <w:t>.0</w:t>
      </w:r>
      <w:r>
        <w:rPr>
          <w:iCs/>
        </w:rPr>
        <w:t xml:space="preserve"> m</w:t>
      </w:r>
      <w:r>
        <w:rPr>
          <w:iCs/>
        </w:rPr>
        <w:t>，高</w:t>
      </w:r>
      <w:r>
        <w:rPr>
          <w:iCs/>
        </w:rPr>
        <w:t>0.8 m ~ 1.5 m</w:t>
      </w:r>
      <w:r>
        <w:rPr>
          <w:iCs/>
        </w:rPr>
        <w:t>，长度不限的依据</w:t>
      </w:r>
    </w:p>
    <w:p w:rsidR="0027074B" w:rsidRDefault="004B23C3">
      <w:pPr>
        <w:pStyle w:val="13"/>
        <w:ind w:firstLine="560"/>
      </w:pPr>
      <w:r>
        <w:t>覆膜堆肥作为自然通风供氧的微生物发酵方式，其</w:t>
      </w:r>
      <w:proofErr w:type="gramStart"/>
      <w:r>
        <w:t>条垛式堆体</w:t>
      </w:r>
      <w:proofErr w:type="gramEnd"/>
      <w:r>
        <w:t>规格是决定发酵效率与无害化效果的关键参数，</w:t>
      </w:r>
      <w:proofErr w:type="gramStart"/>
      <w:r>
        <w:t>当堆体高</w:t>
      </w:r>
      <w:proofErr w:type="gramEnd"/>
      <w:r>
        <w:t>度与宽度过低时，</w:t>
      </w:r>
      <w:proofErr w:type="gramStart"/>
      <w:r>
        <w:t>堆体热容量</w:t>
      </w:r>
      <w:proofErr w:type="gramEnd"/>
      <w:r>
        <w:t>显著降低，保温性能大幅下降，微生物代谢产热快速散失，导致堆肥启动慢，腐熟效率低，同时无法达到无害化处理所需的高温条件，其规格的设定需兼顾发酵效率与实操可行性。各省农业农村厅、地方市场监督管理局等部门发布的现行标准为参数确定提供了核心依据。结合规模以下养殖场（户）人力翻堆、简易管护的实际场景，确定堆体高度</w:t>
      </w:r>
      <w:r>
        <w:t>0.8-1.5m</w:t>
      </w:r>
      <w:r>
        <w:t>、宽度</w:t>
      </w:r>
      <w:r>
        <w:t>1</w:t>
      </w:r>
      <w:r>
        <w:rPr>
          <w:rFonts w:hint="eastAsia"/>
        </w:rPr>
        <w:t>.0</w:t>
      </w:r>
      <w:r>
        <w:t>-2</w:t>
      </w:r>
      <w:r>
        <w:rPr>
          <w:rFonts w:hint="eastAsia"/>
        </w:rPr>
        <w:t>.0</w:t>
      </w:r>
      <w:r>
        <w:t>m</w:t>
      </w:r>
      <w:r w:rsidR="00301B8E">
        <w:rPr>
          <w:rFonts w:hint="eastAsia"/>
        </w:rPr>
        <w:t>。</w:t>
      </w:r>
      <w:r w:rsidR="00301B8E">
        <w:t>其中高度</w:t>
      </w:r>
      <w:r w:rsidR="00301B8E">
        <w:t xml:space="preserve">0.8-1.5 m </w:t>
      </w:r>
      <w:r w:rsidR="00301B8E">
        <w:t>的设定，核心是</w:t>
      </w:r>
      <w:proofErr w:type="gramStart"/>
      <w:r w:rsidR="00301B8E">
        <w:t>保障堆体保温层</w:t>
      </w:r>
      <w:proofErr w:type="gramEnd"/>
      <w:r w:rsidR="00301B8E">
        <w:t>的厚度，为堆</w:t>
      </w:r>
      <w:proofErr w:type="gramStart"/>
      <w:r w:rsidR="00301B8E">
        <w:t>体创造</w:t>
      </w:r>
      <w:proofErr w:type="gramEnd"/>
      <w:r w:rsidR="00301B8E">
        <w:t>良好保温环境，避免因高度不足导致热量快速散失，</w:t>
      </w:r>
      <w:proofErr w:type="gramStart"/>
      <w:r w:rsidR="00301B8E">
        <w:t>确保堆体能够</w:t>
      </w:r>
      <w:proofErr w:type="gramEnd"/>
      <w:r w:rsidR="00301B8E">
        <w:t>达到并维持</w:t>
      </w:r>
      <w:r w:rsidR="00301B8E">
        <w:t xml:space="preserve"> 55℃</w:t>
      </w:r>
      <w:r w:rsidR="00301B8E">
        <w:t>以上的无害化杀菌温度，确保达到无害化效果，而宽度</w:t>
      </w:r>
      <w:r w:rsidR="00301B8E">
        <w:t>1</w:t>
      </w:r>
      <w:r w:rsidR="00301B8E">
        <w:rPr>
          <w:rFonts w:hint="eastAsia"/>
        </w:rPr>
        <w:t>.0</w:t>
      </w:r>
      <w:r w:rsidR="00301B8E">
        <w:t>-2</w:t>
      </w:r>
      <w:r w:rsidR="00301B8E">
        <w:rPr>
          <w:rFonts w:hint="eastAsia"/>
        </w:rPr>
        <w:t>.0</w:t>
      </w:r>
      <w:r w:rsidR="00301B8E">
        <w:t xml:space="preserve"> m </w:t>
      </w:r>
      <w:r w:rsidR="00301B8E">
        <w:t>则能进一步</w:t>
      </w:r>
      <w:proofErr w:type="gramStart"/>
      <w:r w:rsidR="00301B8E">
        <w:t>优化堆体通风</w:t>
      </w:r>
      <w:proofErr w:type="gramEnd"/>
      <w:r w:rsidR="00301B8E">
        <w:t>条件与热量留存效果，避免因宽度过窄导致发酵效率下降，兼顾了无害化处理要求与小规模作业的实操便利性。</w:t>
      </w:r>
      <w:r>
        <w:t>由于</w:t>
      </w:r>
      <w:proofErr w:type="gramStart"/>
      <w:r>
        <w:t>其堆体</w:t>
      </w:r>
      <w:proofErr w:type="gramEnd"/>
      <w:r>
        <w:t>构型具有显著的几何关联，宽度与高度参数一旦确定，长度即可依据场地荷载条件、</w:t>
      </w:r>
      <w:proofErr w:type="gramStart"/>
      <w:r>
        <w:t>物料总处置量及翻</w:t>
      </w:r>
      <w:proofErr w:type="gramEnd"/>
      <w:r>
        <w:t>堆作业预留空间进行匹配设定。因此，本标准要求中未对长度范围</w:t>
      </w:r>
      <w:proofErr w:type="gramStart"/>
      <w:r>
        <w:t>作出</w:t>
      </w:r>
      <w:proofErr w:type="gramEnd"/>
      <w:r>
        <w:t>具体限定。</w:t>
      </w:r>
    </w:p>
    <w:p w:rsidR="0027074B" w:rsidRDefault="004B23C3">
      <w:pPr>
        <w:ind w:firstLine="562"/>
      </w:pPr>
      <w:r>
        <w:rPr>
          <w:rFonts w:eastAsia="宋体"/>
          <w:b/>
          <w:bCs/>
          <w:sz w:val="28"/>
          <w:szCs w:val="28"/>
        </w:rPr>
        <w:lastRenderedPageBreak/>
        <w:t>标准内容：</w:t>
      </w:r>
    </w:p>
    <w:p w:rsidR="00346E6D" w:rsidRDefault="00346E6D">
      <w:pPr>
        <w:pStyle w:val="13"/>
        <w:ind w:firstLine="560"/>
        <w:rPr>
          <w:i/>
        </w:rPr>
      </w:pPr>
      <w:r>
        <w:rPr>
          <w:rFonts w:hint="eastAsia"/>
          <w:i/>
        </w:rPr>
        <w:t>7</w:t>
      </w:r>
      <w:r>
        <w:rPr>
          <w:i/>
        </w:rPr>
        <w:t xml:space="preserve">.3 </w:t>
      </w:r>
      <w:r>
        <w:rPr>
          <w:rFonts w:hint="eastAsia"/>
          <w:i/>
        </w:rPr>
        <w:t>覆膜发酵</w:t>
      </w:r>
    </w:p>
    <w:p w:rsidR="0027074B" w:rsidRDefault="004B23C3">
      <w:pPr>
        <w:pStyle w:val="13"/>
        <w:ind w:firstLine="560"/>
        <w:rPr>
          <w:i/>
        </w:rPr>
      </w:pPr>
      <w:r>
        <w:rPr>
          <w:i/>
        </w:rPr>
        <w:t>7.3.1</w:t>
      </w:r>
      <w:r>
        <w:rPr>
          <w:i/>
        </w:rPr>
        <w:t>堆体底部铺设通风管道，堆体表面铺设一层覆盖膜，发酵过程</w:t>
      </w:r>
      <w:proofErr w:type="gramStart"/>
      <w:r>
        <w:rPr>
          <w:i/>
        </w:rPr>
        <w:t>实现堆体无动力</w:t>
      </w:r>
      <w:proofErr w:type="gramEnd"/>
      <w:r>
        <w:rPr>
          <w:i/>
        </w:rPr>
        <w:t>通风。</w:t>
      </w:r>
    </w:p>
    <w:p w:rsidR="0027074B" w:rsidRDefault="004B23C3">
      <w:pPr>
        <w:pStyle w:val="13"/>
        <w:ind w:firstLine="560"/>
        <w:rPr>
          <w:i/>
        </w:rPr>
      </w:pPr>
      <w:r>
        <w:rPr>
          <w:i/>
        </w:rPr>
        <w:t>7.3.2</w:t>
      </w:r>
      <w:r>
        <w:rPr>
          <w:i/>
        </w:rPr>
        <w:t>发酵过程中宜利用铲车或</w:t>
      </w:r>
      <w:proofErr w:type="gramStart"/>
      <w:r>
        <w:rPr>
          <w:i/>
        </w:rPr>
        <w:t>翻抛机对堆体</w:t>
      </w:r>
      <w:proofErr w:type="gramEnd"/>
      <w:r>
        <w:rPr>
          <w:i/>
        </w:rPr>
        <w:t>进行翻堆。</w:t>
      </w:r>
    </w:p>
    <w:p w:rsidR="0027074B" w:rsidRDefault="004B23C3">
      <w:pPr>
        <w:pStyle w:val="13"/>
        <w:ind w:firstLine="560"/>
        <w:rPr>
          <w:i/>
        </w:rPr>
      </w:pPr>
      <w:r>
        <w:rPr>
          <w:i/>
        </w:rPr>
        <w:t xml:space="preserve">7.3.3 </w:t>
      </w:r>
      <w:r>
        <w:rPr>
          <w:i/>
        </w:rPr>
        <w:t>夏季覆膜发酵</w:t>
      </w:r>
      <w:r>
        <w:rPr>
          <w:i/>
        </w:rPr>
        <w:t>20</w:t>
      </w:r>
      <w:r w:rsidR="00301B8E">
        <w:rPr>
          <w:i/>
        </w:rPr>
        <w:t xml:space="preserve"> </w:t>
      </w:r>
      <w:r w:rsidR="00301B8E">
        <w:rPr>
          <w:rFonts w:hint="eastAsia"/>
          <w:i/>
        </w:rPr>
        <w:t>d</w:t>
      </w:r>
      <w:r>
        <w:rPr>
          <w:i/>
        </w:rPr>
        <w:t>后，春秋季覆膜发酵</w:t>
      </w:r>
      <w:r>
        <w:rPr>
          <w:i/>
        </w:rPr>
        <w:t>30</w:t>
      </w:r>
      <w:r w:rsidR="00301B8E">
        <w:rPr>
          <w:i/>
        </w:rPr>
        <w:t xml:space="preserve"> </w:t>
      </w:r>
      <w:r>
        <w:rPr>
          <w:i/>
        </w:rPr>
        <w:t>d</w:t>
      </w:r>
      <w:r>
        <w:rPr>
          <w:i/>
        </w:rPr>
        <w:t>后，冬季覆膜发酵</w:t>
      </w:r>
      <w:r>
        <w:rPr>
          <w:i/>
        </w:rPr>
        <w:t>60 d</w:t>
      </w:r>
      <w:r>
        <w:rPr>
          <w:i/>
        </w:rPr>
        <w:t>后，宜收起覆盖膜，进行后腐熟。</w:t>
      </w:r>
    </w:p>
    <w:p w:rsidR="0027074B" w:rsidRDefault="004B23C3">
      <w:pPr>
        <w:pStyle w:val="13"/>
        <w:ind w:firstLine="560"/>
        <w:rPr>
          <w:i/>
        </w:rPr>
      </w:pPr>
      <w:r>
        <w:rPr>
          <w:i/>
        </w:rPr>
        <w:t xml:space="preserve">7.3.4 </w:t>
      </w:r>
      <w:proofErr w:type="gramStart"/>
      <w:r>
        <w:rPr>
          <w:i/>
        </w:rPr>
        <w:t>夏季总发酵</w:t>
      </w:r>
      <w:proofErr w:type="gramEnd"/>
      <w:r>
        <w:rPr>
          <w:i/>
        </w:rPr>
        <w:t>时间不少于</w:t>
      </w:r>
      <w:r>
        <w:rPr>
          <w:i/>
        </w:rPr>
        <w:t>40</w:t>
      </w:r>
      <w:r w:rsidR="00301B8E">
        <w:rPr>
          <w:i/>
        </w:rPr>
        <w:t xml:space="preserve"> </w:t>
      </w:r>
      <w:r>
        <w:rPr>
          <w:i/>
        </w:rPr>
        <w:t>d</w:t>
      </w:r>
      <w:r>
        <w:rPr>
          <w:i/>
        </w:rPr>
        <w:t>，春</w:t>
      </w:r>
      <w:proofErr w:type="gramStart"/>
      <w:r>
        <w:rPr>
          <w:i/>
        </w:rPr>
        <w:t>秋季总发酵</w:t>
      </w:r>
      <w:proofErr w:type="gramEnd"/>
      <w:r>
        <w:rPr>
          <w:i/>
        </w:rPr>
        <w:t>时间不少于</w:t>
      </w:r>
      <w:r>
        <w:rPr>
          <w:i/>
        </w:rPr>
        <w:t>60</w:t>
      </w:r>
      <w:r w:rsidR="00301B8E">
        <w:rPr>
          <w:i/>
        </w:rPr>
        <w:t xml:space="preserve"> </w:t>
      </w:r>
      <w:r>
        <w:rPr>
          <w:i/>
        </w:rPr>
        <w:t>d</w:t>
      </w:r>
      <w:r>
        <w:rPr>
          <w:i/>
        </w:rPr>
        <w:t>，</w:t>
      </w:r>
      <w:proofErr w:type="gramStart"/>
      <w:r>
        <w:rPr>
          <w:i/>
        </w:rPr>
        <w:t>冬季总发酵</w:t>
      </w:r>
      <w:proofErr w:type="gramEnd"/>
      <w:r>
        <w:rPr>
          <w:i/>
        </w:rPr>
        <w:t>时间不少于</w:t>
      </w:r>
      <w:r>
        <w:rPr>
          <w:i/>
        </w:rPr>
        <w:t>90 d</w:t>
      </w:r>
      <w:r>
        <w:rPr>
          <w:i/>
        </w:rPr>
        <w:t>。</w:t>
      </w:r>
    </w:p>
    <w:p w:rsidR="0027074B" w:rsidRDefault="004B23C3">
      <w:pPr>
        <w:pStyle w:val="13"/>
        <w:ind w:firstLine="562"/>
        <w:rPr>
          <w:b/>
          <w:bCs/>
        </w:rPr>
      </w:pPr>
      <w:r>
        <w:rPr>
          <w:b/>
          <w:bCs/>
        </w:rPr>
        <w:t>理由及依据：</w:t>
      </w:r>
    </w:p>
    <w:p w:rsidR="0027074B" w:rsidRDefault="004B23C3">
      <w:pPr>
        <w:pStyle w:val="13"/>
        <w:ind w:firstLine="560"/>
      </w:pPr>
      <w:r>
        <w:t>（</w:t>
      </w:r>
      <w:r>
        <w:t>1</w:t>
      </w:r>
      <w:r>
        <w:t>）</w:t>
      </w:r>
      <w:proofErr w:type="gramStart"/>
      <w:r>
        <w:t>堆体底部</w:t>
      </w:r>
      <w:proofErr w:type="gramEnd"/>
      <w:r>
        <w:t>铺设通风管道，堆体表面铺设一层覆盖膜，发酵过程</w:t>
      </w:r>
      <w:proofErr w:type="gramStart"/>
      <w:r>
        <w:t>实现堆体无动力</w:t>
      </w:r>
      <w:proofErr w:type="gramEnd"/>
      <w:r>
        <w:t>通风的依据</w:t>
      </w:r>
    </w:p>
    <w:p w:rsidR="0027074B" w:rsidRDefault="004B23C3">
      <w:pPr>
        <w:pStyle w:val="13"/>
        <w:ind w:firstLine="560"/>
      </w:pPr>
      <w:proofErr w:type="gramStart"/>
      <w:r>
        <w:t>利用堆体发酵</w:t>
      </w:r>
      <w:proofErr w:type="gramEnd"/>
      <w:r>
        <w:t>产生的热量形成微正压与烟囱效应，驱动内部二氧化碳等气体通过防水透气膜逸出，同时外部空气经底部多孔管道被自然吸入，形成持续气流循环。覆盖膜</w:t>
      </w:r>
      <w:proofErr w:type="gramStart"/>
      <w:r>
        <w:t>与堆体</w:t>
      </w:r>
      <w:proofErr w:type="gramEnd"/>
      <w:r>
        <w:t>间的空气</w:t>
      </w:r>
      <w:proofErr w:type="gramStart"/>
      <w:r>
        <w:t>层减少</w:t>
      </w:r>
      <w:proofErr w:type="gramEnd"/>
      <w:r>
        <w:t>热量散失，透气率与管道结构匹配，确保堆内氧浓度稳定在</w:t>
      </w:r>
      <w:r>
        <w:t>5%-15%</w:t>
      </w:r>
      <w:r>
        <w:t>，满足好氧发酵需求。因此，本标准</w:t>
      </w:r>
      <w:r>
        <w:rPr>
          <w:rFonts w:hint="eastAsia"/>
        </w:rPr>
        <w:t>制定</w:t>
      </w:r>
      <w:r>
        <w:t>可实现低成本、高效稳定的无动力通风效果。</w:t>
      </w:r>
    </w:p>
    <w:p w:rsidR="0027074B" w:rsidRDefault="004B23C3">
      <w:pPr>
        <w:pStyle w:val="13"/>
        <w:ind w:firstLine="560"/>
      </w:pPr>
      <w:r>
        <w:t>（</w:t>
      </w:r>
      <w:r>
        <w:t>2</w:t>
      </w:r>
      <w:r>
        <w:t>）发酵过程中宜利用铲车或</w:t>
      </w:r>
      <w:proofErr w:type="gramStart"/>
      <w:r>
        <w:t>翻抛机对堆体</w:t>
      </w:r>
      <w:proofErr w:type="gramEnd"/>
      <w:r>
        <w:t>进行翻堆的依据</w:t>
      </w:r>
    </w:p>
    <w:p w:rsidR="0027074B" w:rsidRDefault="004B23C3">
      <w:pPr>
        <w:pStyle w:val="13"/>
        <w:ind w:firstLine="560"/>
      </w:pPr>
      <w:r>
        <w:t>翻</w:t>
      </w:r>
      <w:proofErr w:type="gramStart"/>
      <w:r>
        <w:t>堆可打破堆体</w:t>
      </w:r>
      <w:proofErr w:type="gramEnd"/>
      <w:r>
        <w:t>局部厌氧区域，通过机械扰动促进氧气均匀扩散，避免因供氧不足导致有机物降解效率下降和恶臭气体产生；同时</w:t>
      </w:r>
      <w:proofErr w:type="gramStart"/>
      <w:r>
        <w:t>翻堆能重新分配堆体温度场</w:t>
      </w:r>
      <w:proofErr w:type="gramEnd"/>
      <w:r>
        <w:t>，防止局部过热抑制微生物活性，确保高温阶</w:t>
      </w:r>
      <w:r>
        <w:lastRenderedPageBreak/>
        <w:t>段持续</w:t>
      </w:r>
      <w:r>
        <w:t>7</w:t>
      </w:r>
      <w:r>
        <w:t>天以上以杀灭病原菌。此外，</w:t>
      </w:r>
      <w:proofErr w:type="gramStart"/>
      <w:r>
        <w:t>翻堆可混合</w:t>
      </w:r>
      <w:proofErr w:type="gramEnd"/>
      <w:r>
        <w:t>不同降解阶段的物料，使易分解有机质与难分解物质充分接触，提升整体降解率，并避免秸秆等辅料结块影响孔隙率。</w:t>
      </w:r>
    </w:p>
    <w:p w:rsidR="0027074B" w:rsidRDefault="004B23C3">
      <w:pPr>
        <w:pStyle w:val="13"/>
        <w:ind w:firstLine="560"/>
      </w:pPr>
      <w:r>
        <w:t>（</w:t>
      </w:r>
      <w:r>
        <w:t>3</w:t>
      </w:r>
      <w:r>
        <w:t>）夏季覆膜发酵</w:t>
      </w:r>
      <w:r>
        <w:t>20</w:t>
      </w:r>
      <w:r w:rsidR="00301B8E">
        <w:t xml:space="preserve"> </w:t>
      </w:r>
      <w:r w:rsidR="00301B8E">
        <w:rPr>
          <w:rFonts w:hint="eastAsia"/>
        </w:rPr>
        <w:t>d</w:t>
      </w:r>
      <w:r>
        <w:t>后，春秋季覆膜发酵</w:t>
      </w:r>
      <w:r>
        <w:t>30</w:t>
      </w:r>
      <w:r w:rsidR="00301B8E">
        <w:t xml:space="preserve"> </w:t>
      </w:r>
      <w:r>
        <w:t>d</w:t>
      </w:r>
      <w:r>
        <w:t>后，冬季覆膜发酵</w:t>
      </w:r>
      <w:r>
        <w:t>60 d</w:t>
      </w:r>
      <w:r>
        <w:t>后，宜收起覆盖膜，进行后腐熟的依据</w:t>
      </w:r>
    </w:p>
    <w:p w:rsidR="0027074B" w:rsidRDefault="004B23C3">
      <w:pPr>
        <w:pStyle w:val="13"/>
        <w:ind w:firstLine="560"/>
      </w:pPr>
      <w:r>
        <w:t>夏季覆膜发酵</w:t>
      </w:r>
      <w:r>
        <w:t>20</w:t>
      </w:r>
      <w:r>
        <w:t>天、春秋季</w:t>
      </w:r>
      <w:r>
        <w:t>30</w:t>
      </w:r>
      <w:r>
        <w:t>天、冬季</w:t>
      </w:r>
      <w:r>
        <w:t>60</w:t>
      </w:r>
      <w:r>
        <w:t>天后收起覆盖膜进行后腐熟，是基于微生物代谢周期与季节性温度差异的调控。夏季高温加速有机物分解，</w:t>
      </w:r>
      <w:r>
        <w:t>20</w:t>
      </w:r>
      <w:r>
        <w:t>天可完成易降解物质降解和病原菌灭杀，</w:t>
      </w:r>
      <w:proofErr w:type="gramStart"/>
      <w:r>
        <w:t>收膜后</w:t>
      </w:r>
      <w:proofErr w:type="gramEnd"/>
      <w:r>
        <w:t>通过后腐熟稳定养分。春秋季温和条件下需</w:t>
      </w:r>
      <w:r>
        <w:t>30</w:t>
      </w:r>
      <w:r>
        <w:t>天发酵确保堆体温度达</w:t>
      </w:r>
      <w:r>
        <w:t>50-60℃</w:t>
      </w:r>
      <w:r>
        <w:t>并维持有效灭菌期，后腐熟可进一步提升腐殖质含量。冬季低温需</w:t>
      </w:r>
      <w:r>
        <w:t>60</w:t>
      </w:r>
      <w:r>
        <w:t>天覆膜保温发酵以满足高温阶段需求，</w:t>
      </w:r>
      <w:proofErr w:type="gramStart"/>
      <w:r>
        <w:t>收膜后</w:t>
      </w:r>
      <w:proofErr w:type="gramEnd"/>
      <w:r>
        <w:t>延长后腐熟时间弥补低温导致的分解不足。此操作依据堆体温度、外观气味及耗氧速率等腐熟度指标，通过季节性调整发酵周期，既避免过度发酵导致养分流失，又确保后腐熟阶段完成难分解物质转化和有害物质降解。</w:t>
      </w:r>
    </w:p>
    <w:p w:rsidR="0027074B" w:rsidRDefault="004B23C3">
      <w:pPr>
        <w:pStyle w:val="13"/>
        <w:ind w:firstLine="560"/>
      </w:pPr>
      <w:r>
        <w:t>（</w:t>
      </w:r>
      <w:r>
        <w:t>4</w:t>
      </w:r>
      <w:r>
        <w:t>）</w:t>
      </w:r>
      <w:proofErr w:type="gramStart"/>
      <w:r>
        <w:t>夏季总发酵</w:t>
      </w:r>
      <w:proofErr w:type="gramEnd"/>
      <w:r>
        <w:t>时间不少于</w:t>
      </w:r>
      <w:r>
        <w:t>40</w:t>
      </w:r>
      <w:r w:rsidR="00301B8E">
        <w:t xml:space="preserve"> </w:t>
      </w:r>
      <w:r>
        <w:t>d</w:t>
      </w:r>
      <w:r>
        <w:t>，春</w:t>
      </w:r>
      <w:proofErr w:type="gramStart"/>
      <w:r>
        <w:t>秋季总发酵</w:t>
      </w:r>
      <w:proofErr w:type="gramEnd"/>
      <w:r>
        <w:t>时间不少于</w:t>
      </w:r>
      <w:r>
        <w:t>60</w:t>
      </w:r>
      <w:r w:rsidR="00301B8E">
        <w:t xml:space="preserve"> </w:t>
      </w:r>
      <w:r>
        <w:t>d</w:t>
      </w:r>
      <w:r>
        <w:t>，</w:t>
      </w:r>
      <w:proofErr w:type="gramStart"/>
      <w:r>
        <w:t>冬季总发酵</w:t>
      </w:r>
      <w:proofErr w:type="gramEnd"/>
      <w:r>
        <w:t>时间不少于</w:t>
      </w:r>
      <w:r>
        <w:t>90 d</w:t>
      </w:r>
      <w:r>
        <w:t>的依据</w:t>
      </w:r>
    </w:p>
    <w:p w:rsidR="0027074B" w:rsidRDefault="004B23C3">
      <w:pPr>
        <w:pStyle w:val="13"/>
        <w:ind w:firstLine="560"/>
      </w:pPr>
      <w:r>
        <w:t>夏季高温加速分解，但需维持</w:t>
      </w:r>
      <w:r>
        <w:t>50-60℃</w:t>
      </w:r>
      <w:r>
        <w:t>高温期</w:t>
      </w:r>
      <w:r>
        <w:t>10-15</w:t>
      </w:r>
      <w:r>
        <w:t>天，确保堆肥周期满足</w:t>
      </w:r>
      <w:r>
        <w:t>40</w:t>
      </w:r>
      <w:r>
        <w:t>天，从而使易降解物质转化，避免氮素挥发。春秋季温和条件下需</w:t>
      </w:r>
      <w:r>
        <w:t>60</w:t>
      </w:r>
      <w:r>
        <w:t>天完成难分解有机物的充分降解，平衡养分释放与固定。冬季低温则需</w:t>
      </w:r>
      <w:r>
        <w:t>90</w:t>
      </w:r>
      <w:r>
        <w:t>天通过延长周期弥补代谢速率下降，</w:t>
      </w:r>
      <w:proofErr w:type="gramStart"/>
      <w:r>
        <w:t>实现堆体升温</w:t>
      </w:r>
      <w:proofErr w:type="gramEnd"/>
      <w:r>
        <w:t>与难分解物质缓慢转化，满足无害化标准。此外，不同季节的</w:t>
      </w:r>
      <w:r>
        <w:lastRenderedPageBreak/>
        <w:t>发酵周期均需</w:t>
      </w:r>
      <w:proofErr w:type="gramStart"/>
      <w:r>
        <w:t>确保堆体经历</w:t>
      </w:r>
      <w:proofErr w:type="gramEnd"/>
      <w:r>
        <w:t>完整的</w:t>
      </w:r>
      <w:r>
        <w:t>“</w:t>
      </w:r>
      <w:r>
        <w:t>升温</w:t>
      </w:r>
      <w:r>
        <w:t>-</w:t>
      </w:r>
      <w:r>
        <w:t>高温</w:t>
      </w:r>
      <w:r>
        <w:t>-</w:t>
      </w:r>
      <w:r>
        <w:t>降温</w:t>
      </w:r>
      <w:r>
        <w:t>”</w:t>
      </w:r>
      <w:r>
        <w:t>过程，使外观呈黑褐色、耗氧速率稳定，最终产出总养分</w:t>
      </w:r>
      <w:r>
        <w:t>≥5%</w:t>
      </w:r>
      <w:r>
        <w:t>、有机质</w:t>
      </w:r>
      <w:r>
        <w:t>≥45%</w:t>
      </w:r>
      <w:r>
        <w:t>的优质有机肥。</w:t>
      </w:r>
    </w:p>
    <w:p w:rsidR="0027074B" w:rsidRDefault="004B23C3">
      <w:pPr>
        <w:ind w:firstLine="562"/>
      </w:pPr>
      <w:r>
        <w:rPr>
          <w:rFonts w:eastAsia="宋体"/>
          <w:b/>
          <w:bCs/>
          <w:sz w:val="28"/>
          <w:szCs w:val="28"/>
        </w:rPr>
        <w:t>标准内容：</w:t>
      </w:r>
    </w:p>
    <w:p w:rsidR="00346E6D" w:rsidRDefault="00346E6D">
      <w:pPr>
        <w:pStyle w:val="13"/>
        <w:ind w:firstLine="560"/>
        <w:rPr>
          <w:i/>
        </w:rPr>
      </w:pPr>
      <w:r>
        <w:rPr>
          <w:rFonts w:hint="eastAsia"/>
          <w:i/>
        </w:rPr>
        <w:t>7</w:t>
      </w:r>
      <w:r>
        <w:rPr>
          <w:i/>
        </w:rPr>
        <w:t xml:space="preserve">.4 </w:t>
      </w:r>
      <w:r>
        <w:rPr>
          <w:rFonts w:hint="eastAsia"/>
          <w:i/>
        </w:rPr>
        <w:t>臭气控制</w:t>
      </w:r>
    </w:p>
    <w:p w:rsidR="0027074B" w:rsidRDefault="004B23C3">
      <w:pPr>
        <w:pStyle w:val="13"/>
        <w:ind w:firstLine="560"/>
        <w:rPr>
          <w:i/>
        </w:rPr>
      </w:pPr>
      <w:r>
        <w:rPr>
          <w:i/>
        </w:rPr>
        <w:t xml:space="preserve">7.4.1 </w:t>
      </w:r>
      <w:r>
        <w:rPr>
          <w:i/>
        </w:rPr>
        <w:t>堆肥</w:t>
      </w:r>
      <w:proofErr w:type="gramStart"/>
      <w:r>
        <w:rPr>
          <w:i/>
        </w:rPr>
        <w:t>区宜设置</w:t>
      </w:r>
      <w:proofErr w:type="gramEnd"/>
      <w:r>
        <w:rPr>
          <w:i/>
        </w:rPr>
        <w:t>在养殖场区的下风向或侧风向处，与生产生活区保持</w:t>
      </w:r>
      <w:r>
        <w:rPr>
          <w:i/>
        </w:rPr>
        <w:t>20 m</w:t>
      </w:r>
      <w:r>
        <w:rPr>
          <w:i/>
        </w:rPr>
        <w:t>以上的隔离间距，满足防疫要求。</w:t>
      </w:r>
    </w:p>
    <w:p w:rsidR="0027074B" w:rsidRDefault="004B23C3">
      <w:pPr>
        <w:pStyle w:val="13"/>
        <w:ind w:firstLine="560"/>
        <w:rPr>
          <w:i/>
        </w:rPr>
      </w:pPr>
      <w:r>
        <w:rPr>
          <w:i/>
        </w:rPr>
        <w:t xml:space="preserve">7.4.2 </w:t>
      </w:r>
      <w:r>
        <w:rPr>
          <w:i/>
        </w:rPr>
        <w:t>堆肥过程中通过调节</w:t>
      </w:r>
      <w:r>
        <w:rPr>
          <w:i/>
        </w:rPr>
        <w:t>C/N</w:t>
      </w:r>
      <w:r>
        <w:rPr>
          <w:i/>
        </w:rPr>
        <w:t>、含水率</w:t>
      </w:r>
      <w:proofErr w:type="gramStart"/>
      <w:r>
        <w:rPr>
          <w:i/>
        </w:rPr>
        <w:t>和堆体孔隙度</w:t>
      </w:r>
      <w:proofErr w:type="gramEnd"/>
      <w:r>
        <w:rPr>
          <w:i/>
        </w:rPr>
        <w:t>等，确保</w:t>
      </w:r>
      <w:proofErr w:type="gramStart"/>
      <w:r>
        <w:rPr>
          <w:i/>
        </w:rPr>
        <w:t>堆体处于好</w:t>
      </w:r>
      <w:proofErr w:type="gramEnd"/>
      <w:r>
        <w:rPr>
          <w:i/>
        </w:rPr>
        <w:t>氧</w:t>
      </w:r>
      <w:proofErr w:type="gramStart"/>
      <w:r>
        <w:rPr>
          <w:i/>
        </w:rPr>
        <w:t>或兼氧状态</w:t>
      </w:r>
      <w:proofErr w:type="gramEnd"/>
      <w:r>
        <w:rPr>
          <w:i/>
        </w:rPr>
        <w:t>，减少臭气产生。</w:t>
      </w:r>
    </w:p>
    <w:p w:rsidR="0027074B" w:rsidRDefault="004B23C3">
      <w:pPr>
        <w:pStyle w:val="13"/>
        <w:ind w:firstLine="562"/>
        <w:rPr>
          <w:b/>
          <w:bCs/>
          <w:iCs/>
        </w:rPr>
      </w:pPr>
      <w:r>
        <w:rPr>
          <w:b/>
          <w:bCs/>
          <w:iCs/>
        </w:rPr>
        <w:t>理由与依据：</w:t>
      </w:r>
    </w:p>
    <w:p w:rsidR="0027074B" w:rsidRDefault="004B23C3">
      <w:pPr>
        <w:pStyle w:val="13"/>
        <w:ind w:firstLine="560"/>
        <w:rPr>
          <w:iCs/>
        </w:rPr>
      </w:pPr>
      <w:r>
        <w:rPr>
          <w:iCs/>
        </w:rPr>
        <w:t>（</w:t>
      </w:r>
      <w:r>
        <w:rPr>
          <w:iCs/>
        </w:rPr>
        <w:t>1</w:t>
      </w:r>
      <w:r>
        <w:rPr>
          <w:iCs/>
        </w:rPr>
        <w:t>）堆肥</w:t>
      </w:r>
      <w:proofErr w:type="gramStart"/>
      <w:r>
        <w:rPr>
          <w:iCs/>
        </w:rPr>
        <w:t>区宜设置</w:t>
      </w:r>
      <w:proofErr w:type="gramEnd"/>
      <w:r>
        <w:rPr>
          <w:iCs/>
        </w:rPr>
        <w:t>在养殖场区的下风向或侧风向处，与生产生活区保持</w:t>
      </w:r>
      <w:r>
        <w:rPr>
          <w:iCs/>
        </w:rPr>
        <w:t>20 m</w:t>
      </w:r>
      <w:r>
        <w:rPr>
          <w:iCs/>
        </w:rPr>
        <w:t>以上的隔离间距，满足防疫要求的依据</w:t>
      </w:r>
    </w:p>
    <w:p w:rsidR="0027074B" w:rsidRDefault="004B23C3">
      <w:pPr>
        <w:pStyle w:val="13"/>
        <w:ind w:firstLine="560"/>
        <w:rPr>
          <w:iCs/>
        </w:rPr>
      </w:pPr>
      <w:r>
        <w:rPr>
          <w:iCs/>
        </w:rPr>
        <w:t>堆肥</w:t>
      </w:r>
      <w:proofErr w:type="gramStart"/>
      <w:r>
        <w:rPr>
          <w:iCs/>
        </w:rPr>
        <w:t>区宜设置</w:t>
      </w:r>
      <w:proofErr w:type="gramEnd"/>
      <w:r>
        <w:rPr>
          <w:iCs/>
        </w:rPr>
        <w:t>在养殖场下风向或</w:t>
      </w:r>
      <w:proofErr w:type="gramStart"/>
      <w:r>
        <w:rPr>
          <w:iCs/>
        </w:rPr>
        <w:t>侧风向且与</w:t>
      </w:r>
      <w:proofErr w:type="gramEnd"/>
      <w:r>
        <w:rPr>
          <w:iCs/>
        </w:rPr>
        <w:t>生产生活区保持</w:t>
      </w:r>
      <w:r>
        <w:rPr>
          <w:iCs/>
        </w:rPr>
        <w:t>20</w:t>
      </w:r>
      <w:r>
        <w:rPr>
          <w:iCs/>
        </w:rPr>
        <w:t>米以上隔离间距，主要是基于防疫、环境安全及卫生防护。养殖场排放的病原微生物及寄生虫卵会随气流扩散，下风向或侧风向布局可避免堆肥区成为二次传播中转站，同时</w:t>
      </w:r>
      <w:r>
        <w:rPr>
          <w:iCs/>
        </w:rPr>
        <w:t>20</w:t>
      </w:r>
      <w:r>
        <w:rPr>
          <w:iCs/>
        </w:rPr>
        <w:t>米隔离间距能有效阻断病原通过飞沫、尘埃的直接传播。堆肥产生的臭气和粉尘若靠近生产生活区，会降低人员舒适度并可能引发呼吸道疾病，下风向布局可利用自然风压减少异味倒灌，</w:t>
      </w:r>
      <w:r>
        <w:rPr>
          <w:iCs/>
        </w:rPr>
        <w:t>20</w:t>
      </w:r>
      <w:r>
        <w:rPr>
          <w:iCs/>
        </w:rPr>
        <w:t>米间距则通过空气稀释降低污染物浓度至安全阈值以下。堆肥区可能吸引苍蝇、啮齿类等病媒生物，与养殖区保持</w:t>
      </w:r>
      <w:r>
        <w:rPr>
          <w:iCs/>
        </w:rPr>
        <w:t>20</w:t>
      </w:r>
      <w:r>
        <w:rPr>
          <w:iCs/>
        </w:rPr>
        <w:t>米以上距离可形成物理屏障，减少其向养殖舍的迁移，同时避免堆肥渗滤液污染地下水源或养殖用水。此外，该布局符合《畜禽</w:t>
      </w:r>
      <w:r>
        <w:rPr>
          <w:iCs/>
        </w:rPr>
        <w:lastRenderedPageBreak/>
        <w:t>规模养殖污染防治条例》及《动物防疫条件审查办法》中</w:t>
      </w:r>
      <w:r>
        <w:rPr>
          <w:iCs/>
        </w:rPr>
        <w:t>“</w:t>
      </w:r>
      <w:r>
        <w:rPr>
          <w:iCs/>
        </w:rPr>
        <w:t>堆肥设施与养殖场生活区距离</w:t>
      </w:r>
      <w:r>
        <w:rPr>
          <w:iCs/>
        </w:rPr>
        <w:t>≥20</w:t>
      </w:r>
      <w:r>
        <w:rPr>
          <w:iCs/>
        </w:rPr>
        <w:t>米</w:t>
      </w:r>
      <w:r>
        <w:rPr>
          <w:iCs/>
        </w:rPr>
        <w:t>”</w:t>
      </w:r>
      <w:r>
        <w:rPr>
          <w:iCs/>
        </w:rPr>
        <w:t>的强制性要求。</w:t>
      </w:r>
    </w:p>
    <w:p w:rsidR="0027074B" w:rsidRDefault="004B23C3">
      <w:pPr>
        <w:pStyle w:val="13"/>
        <w:ind w:firstLine="560"/>
        <w:rPr>
          <w:iCs/>
        </w:rPr>
      </w:pPr>
      <w:r>
        <w:rPr>
          <w:iCs/>
        </w:rPr>
        <w:t>（</w:t>
      </w:r>
      <w:r>
        <w:rPr>
          <w:iCs/>
        </w:rPr>
        <w:t>2</w:t>
      </w:r>
      <w:r>
        <w:rPr>
          <w:iCs/>
        </w:rPr>
        <w:t>）堆肥过程中通过调节</w:t>
      </w:r>
      <w:r>
        <w:rPr>
          <w:iCs/>
        </w:rPr>
        <w:t>C/N</w:t>
      </w:r>
      <w:r>
        <w:rPr>
          <w:iCs/>
        </w:rPr>
        <w:t>、含水率</w:t>
      </w:r>
      <w:proofErr w:type="gramStart"/>
      <w:r>
        <w:rPr>
          <w:iCs/>
        </w:rPr>
        <w:t>和堆体孔隙度</w:t>
      </w:r>
      <w:proofErr w:type="gramEnd"/>
      <w:r>
        <w:rPr>
          <w:iCs/>
        </w:rPr>
        <w:t>等，确保</w:t>
      </w:r>
      <w:proofErr w:type="gramStart"/>
      <w:r>
        <w:rPr>
          <w:iCs/>
        </w:rPr>
        <w:t>堆体处于好</w:t>
      </w:r>
      <w:proofErr w:type="gramEnd"/>
      <w:r>
        <w:rPr>
          <w:iCs/>
        </w:rPr>
        <w:t>氧</w:t>
      </w:r>
      <w:proofErr w:type="gramStart"/>
      <w:r>
        <w:rPr>
          <w:iCs/>
        </w:rPr>
        <w:t>或兼氧状态</w:t>
      </w:r>
      <w:proofErr w:type="gramEnd"/>
      <w:r>
        <w:rPr>
          <w:iCs/>
        </w:rPr>
        <w:t>，减少臭气产生的依据</w:t>
      </w:r>
    </w:p>
    <w:p w:rsidR="0027074B" w:rsidRDefault="004B23C3">
      <w:pPr>
        <w:pStyle w:val="13"/>
        <w:ind w:firstLine="560"/>
      </w:pPr>
      <w:r>
        <w:t>堆肥过程中通过将碳氮比（</w:t>
      </w:r>
      <w:r>
        <w:t>C/N</w:t>
      </w:r>
      <w:r>
        <w:t>）控制在</w:t>
      </w:r>
      <w:r>
        <w:t>25-30:1</w:t>
      </w:r>
      <w:r>
        <w:t>、含水率维持在</w:t>
      </w:r>
      <w:r>
        <w:rPr>
          <w:rFonts w:hint="eastAsia"/>
        </w:rPr>
        <w:t>45</w:t>
      </w:r>
      <w:r>
        <w:t>%-65%</w:t>
      </w:r>
      <w:r>
        <w:t>、</w:t>
      </w:r>
      <w:proofErr w:type="gramStart"/>
      <w:r>
        <w:t>堆体孔隙度</w:t>
      </w:r>
      <w:proofErr w:type="gramEnd"/>
      <w:r>
        <w:t>优化至</w:t>
      </w:r>
      <w:r>
        <w:t>35%-50%</w:t>
      </w:r>
      <w:r>
        <w:t>，可构建高效的好氧</w:t>
      </w:r>
      <w:proofErr w:type="gramStart"/>
      <w:r>
        <w:rPr>
          <w:rFonts w:hint="eastAsia"/>
        </w:rPr>
        <w:t>或</w:t>
      </w:r>
      <w:r>
        <w:t>兼氧环境</w:t>
      </w:r>
      <w:proofErr w:type="gramEnd"/>
      <w:r>
        <w:t>。适宜的</w:t>
      </w:r>
      <w:r>
        <w:t>C/N</w:t>
      </w:r>
      <w:r>
        <w:t>比</w:t>
      </w:r>
      <w:r>
        <w:rPr>
          <w:rFonts w:hint="eastAsia"/>
        </w:rPr>
        <w:t>可</w:t>
      </w:r>
      <w:r>
        <w:t>避免微生物因碳过剩分解蛋白质产氨或氮过剩生成氮氧化物，含水</w:t>
      </w:r>
      <w:proofErr w:type="gramStart"/>
      <w:r>
        <w:t>率在此范围内保障</w:t>
      </w:r>
      <w:proofErr w:type="gramEnd"/>
      <w:r>
        <w:t>氧气通过毛细作用扩散且不堵塞孔隙，孔隙度平衡氧气渗透与热量保留，三者协同可</w:t>
      </w:r>
      <w:proofErr w:type="gramStart"/>
      <w:r>
        <w:t>使堆体</w:t>
      </w:r>
      <w:proofErr w:type="gramEnd"/>
      <w:r>
        <w:t>中心氧浓度稳定在</w:t>
      </w:r>
      <w:r>
        <w:t>2%-5%</w:t>
      </w:r>
      <w:r>
        <w:t>以上，抑制硫酸盐还原菌等厌氧菌活动，减少硫化氢、甲硫醇等臭气中间产物积累，同时促进有机物彻底分解为二氧化碳和水。</w:t>
      </w:r>
    </w:p>
    <w:p w:rsidR="0027074B" w:rsidRDefault="004B23C3">
      <w:pPr>
        <w:autoSpaceDE w:val="0"/>
        <w:autoSpaceDN w:val="0"/>
        <w:adjustRightInd/>
        <w:snapToGrid/>
        <w:spacing w:line="240" w:lineRule="auto"/>
        <w:ind w:left="561" w:firstLineChars="0" w:firstLine="0"/>
        <w:outlineLvl w:val="2"/>
        <w:rPr>
          <w:rFonts w:eastAsia="楷体"/>
          <w:b/>
          <w:bCs/>
          <w:color w:val="000000"/>
          <w:sz w:val="28"/>
          <w:szCs w:val="28"/>
        </w:rPr>
      </w:pPr>
      <w:r>
        <w:rPr>
          <w:rFonts w:eastAsia="楷体"/>
          <w:b/>
          <w:bCs/>
          <w:color w:val="000000"/>
          <w:sz w:val="28"/>
          <w:szCs w:val="28"/>
        </w:rPr>
        <w:t xml:space="preserve">6. </w:t>
      </w:r>
      <w:r>
        <w:rPr>
          <w:rFonts w:eastAsia="楷体"/>
          <w:b/>
          <w:bCs/>
          <w:color w:val="000000"/>
          <w:sz w:val="28"/>
          <w:szCs w:val="28"/>
        </w:rPr>
        <w:t>堆肥产物</w:t>
      </w:r>
    </w:p>
    <w:p w:rsidR="0027074B" w:rsidRDefault="004B23C3">
      <w:pPr>
        <w:ind w:firstLine="562"/>
        <w:rPr>
          <w:rFonts w:eastAsia="宋体"/>
          <w:b/>
          <w:bCs/>
          <w:sz w:val="28"/>
          <w:szCs w:val="28"/>
        </w:rPr>
      </w:pPr>
      <w:r>
        <w:rPr>
          <w:rFonts w:eastAsia="宋体"/>
          <w:b/>
          <w:bCs/>
          <w:sz w:val="28"/>
          <w:szCs w:val="28"/>
        </w:rPr>
        <w:t>标准内容：</w:t>
      </w:r>
    </w:p>
    <w:p w:rsidR="0027074B" w:rsidRDefault="004B23C3">
      <w:pPr>
        <w:pStyle w:val="13"/>
        <w:ind w:firstLine="560"/>
        <w:rPr>
          <w:i/>
          <w:iCs/>
        </w:rPr>
      </w:pPr>
      <w:r>
        <w:rPr>
          <w:i/>
          <w:iCs/>
        </w:rPr>
        <w:t xml:space="preserve">8.1 </w:t>
      </w:r>
      <w:r>
        <w:rPr>
          <w:i/>
          <w:iCs/>
        </w:rPr>
        <w:t>产物质量要求</w:t>
      </w:r>
    </w:p>
    <w:p w:rsidR="0027074B" w:rsidRDefault="00346E6D">
      <w:pPr>
        <w:pStyle w:val="13"/>
        <w:ind w:firstLine="560"/>
      </w:pPr>
      <w:r>
        <w:t>堆</w:t>
      </w:r>
      <w:r>
        <w:rPr>
          <w:rFonts w:hint="eastAsia"/>
        </w:rPr>
        <w:t>肥</w:t>
      </w:r>
      <w:r w:rsidR="004B23C3">
        <w:t>产物应符合表</w:t>
      </w:r>
      <w:r w:rsidR="004B23C3">
        <w:t>1</w:t>
      </w:r>
      <w:r w:rsidR="004B23C3">
        <w:t>的要求。</w:t>
      </w:r>
    </w:p>
    <w:p w:rsidR="0027074B" w:rsidRDefault="004B23C3">
      <w:pPr>
        <w:pStyle w:val="af4"/>
        <w:spacing w:beforeLines="50" w:before="156" w:afterLines="50" w:after="156"/>
        <w:jc w:val="center"/>
        <w:rPr>
          <w:rFonts w:eastAsia="黑体"/>
          <w:sz w:val="21"/>
          <w:szCs w:val="21"/>
        </w:rPr>
      </w:pPr>
      <w:r>
        <w:rPr>
          <w:rFonts w:eastAsia="黑体"/>
          <w:sz w:val="21"/>
          <w:szCs w:val="21"/>
        </w:rPr>
        <w:t>表</w:t>
      </w:r>
      <w:r>
        <w:rPr>
          <w:rFonts w:eastAsia="黑体"/>
          <w:sz w:val="21"/>
          <w:szCs w:val="21"/>
        </w:rPr>
        <w:t xml:space="preserve">1 </w:t>
      </w:r>
      <w:r w:rsidR="00346E6D">
        <w:rPr>
          <w:rFonts w:eastAsia="黑体"/>
          <w:sz w:val="21"/>
          <w:szCs w:val="21"/>
        </w:rPr>
        <w:t>堆</w:t>
      </w:r>
      <w:r w:rsidR="00346E6D">
        <w:rPr>
          <w:rFonts w:eastAsia="黑体" w:hint="eastAsia"/>
          <w:sz w:val="21"/>
          <w:szCs w:val="21"/>
        </w:rPr>
        <w:t>肥</w:t>
      </w:r>
      <w:r>
        <w:rPr>
          <w:rFonts w:eastAsia="黑体"/>
          <w:sz w:val="21"/>
          <w:szCs w:val="21"/>
        </w:rPr>
        <w:t>产物质量要求</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40"/>
        <w:gridCol w:w="3056"/>
      </w:tblGrid>
      <w:tr w:rsidR="0027074B" w:rsidRPr="00301B8E" w:rsidTr="00301B8E">
        <w:tc>
          <w:tcPr>
            <w:tcW w:w="3158" w:type="pct"/>
          </w:tcPr>
          <w:p w:rsidR="0027074B" w:rsidRPr="00301B8E" w:rsidRDefault="004B23C3">
            <w:pPr>
              <w:pStyle w:val="af4"/>
              <w:spacing w:before="100" w:beforeAutospacing="1" w:after="100" w:afterAutospacing="1"/>
              <w:ind w:firstLine="360"/>
              <w:jc w:val="center"/>
              <w:rPr>
                <w:b/>
                <w:sz w:val="21"/>
                <w:szCs w:val="21"/>
              </w:rPr>
            </w:pPr>
            <w:bookmarkStart w:id="21" w:name="OLE_LINK14"/>
            <w:bookmarkStart w:id="22" w:name="OLE_LINK13"/>
            <w:r w:rsidRPr="00301B8E">
              <w:rPr>
                <w:b/>
                <w:sz w:val="21"/>
                <w:szCs w:val="21"/>
              </w:rPr>
              <w:t>项目</w:t>
            </w:r>
          </w:p>
        </w:tc>
        <w:tc>
          <w:tcPr>
            <w:tcW w:w="1842" w:type="pct"/>
          </w:tcPr>
          <w:p w:rsidR="0027074B" w:rsidRPr="00301B8E" w:rsidRDefault="004B23C3" w:rsidP="00301B8E">
            <w:pPr>
              <w:pStyle w:val="af4"/>
              <w:spacing w:before="100" w:beforeAutospacing="1" w:after="100" w:afterAutospacing="1"/>
              <w:jc w:val="center"/>
              <w:rPr>
                <w:b/>
                <w:sz w:val="21"/>
                <w:szCs w:val="21"/>
              </w:rPr>
            </w:pPr>
            <w:r w:rsidRPr="00301B8E">
              <w:rPr>
                <w:b/>
                <w:sz w:val="21"/>
                <w:szCs w:val="21"/>
              </w:rPr>
              <w:t>指标</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种子发芽指数（</w:t>
            </w:r>
            <w:r w:rsidRPr="00301B8E">
              <w:rPr>
                <w:sz w:val="21"/>
                <w:szCs w:val="21"/>
              </w:rPr>
              <w:t>GI</w:t>
            </w:r>
            <w:r w:rsidRPr="00301B8E">
              <w:rPr>
                <w:sz w:val="21"/>
                <w:szCs w:val="21"/>
              </w:rPr>
              <w:t>），</w:t>
            </w:r>
            <w:r w:rsidRPr="00301B8E">
              <w:rPr>
                <w:sz w:val="21"/>
                <w:szCs w:val="21"/>
              </w:rPr>
              <w:t>%</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70</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蛔虫</w:t>
            </w:r>
            <w:proofErr w:type="gramStart"/>
            <w:r w:rsidRPr="00301B8E">
              <w:rPr>
                <w:sz w:val="21"/>
                <w:szCs w:val="21"/>
              </w:rPr>
              <w:t>卵</w:t>
            </w:r>
            <w:proofErr w:type="gramEnd"/>
            <w:r w:rsidRPr="00301B8E">
              <w:rPr>
                <w:sz w:val="21"/>
                <w:szCs w:val="21"/>
              </w:rPr>
              <w:t>死亡率，</w:t>
            </w:r>
            <w:r w:rsidRPr="00301B8E">
              <w:rPr>
                <w:sz w:val="21"/>
                <w:szCs w:val="21"/>
              </w:rPr>
              <w:t>%</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95</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粪大肠菌群数，</w:t>
            </w:r>
            <w:proofErr w:type="gramStart"/>
            <w:r w:rsidRPr="00301B8E">
              <w:rPr>
                <w:sz w:val="21"/>
                <w:szCs w:val="21"/>
              </w:rPr>
              <w:t>个</w:t>
            </w:r>
            <w:proofErr w:type="gramEnd"/>
            <w:r w:rsidRPr="00301B8E">
              <w:rPr>
                <w:sz w:val="21"/>
                <w:szCs w:val="21"/>
              </w:rPr>
              <w:t>/ g</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100</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总砷（</w:t>
            </w:r>
            <w:r w:rsidRPr="00301B8E">
              <w:rPr>
                <w:sz w:val="21"/>
                <w:szCs w:val="21"/>
              </w:rPr>
              <w:t>As</w:t>
            </w:r>
            <w:r w:rsidRPr="00301B8E">
              <w:rPr>
                <w:sz w:val="21"/>
                <w:szCs w:val="21"/>
              </w:rPr>
              <w:t>）（以干基计），</w:t>
            </w:r>
            <w:r w:rsidRPr="00301B8E">
              <w:rPr>
                <w:sz w:val="21"/>
                <w:szCs w:val="21"/>
              </w:rPr>
              <w:t>mg/kg</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15</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总汞（</w:t>
            </w:r>
            <w:r w:rsidRPr="00301B8E">
              <w:rPr>
                <w:sz w:val="21"/>
                <w:szCs w:val="21"/>
              </w:rPr>
              <w:t>Hg</w:t>
            </w:r>
            <w:r w:rsidRPr="00301B8E">
              <w:rPr>
                <w:sz w:val="21"/>
                <w:szCs w:val="21"/>
              </w:rPr>
              <w:t>）（以干基计），</w:t>
            </w:r>
            <w:r w:rsidRPr="00301B8E">
              <w:rPr>
                <w:sz w:val="21"/>
                <w:szCs w:val="21"/>
              </w:rPr>
              <w:t>mg/kg</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2</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总铅（</w:t>
            </w:r>
            <w:proofErr w:type="spellStart"/>
            <w:r w:rsidRPr="00301B8E">
              <w:rPr>
                <w:sz w:val="21"/>
                <w:szCs w:val="21"/>
              </w:rPr>
              <w:t>Pb</w:t>
            </w:r>
            <w:proofErr w:type="spellEnd"/>
            <w:r w:rsidRPr="00301B8E">
              <w:rPr>
                <w:sz w:val="21"/>
                <w:szCs w:val="21"/>
              </w:rPr>
              <w:t>）（以干基计），</w:t>
            </w:r>
            <w:r w:rsidRPr="00301B8E">
              <w:rPr>
                <w:sz w:val="21"/>
                <w:szCs w:val="21"/>
              </w:rPr>
              <w:t>mg/kg</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50</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总镉（</w:t>
            </w:r>
            <w:r w:rsidRPr="00301B8E">
              <w:rPr>
                <w:sz w:val="21"/>
                <w:szCs w:val="21"/>
              </w:rPr>
              <w:t>Cd</w:t>
            </w:r>
            <w:r w:rsidRPr="00301B8E">
              <w:rPr>
                <w:sz w:val="21"/>
                <w:szCs w:val="21"/>
              </w:rPr>
              <w:t>）（以干基计），</w:t>
            </w:r>
            <w:r w:rsidRPr="00301B8E">
              <w:rPr>
                <w:sz w:val="21"/>
                <w:szCs w:val="21"/>
              </w:rPr>
              <w:t>mg/kg</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3</w:t>
            </w:r>
          </w:p>
        </w:tc>
      </w:tr>
      <w:tr w:rsidR="0027074B" w:rsidRPr="00301B8E" w:rsidTr="00301B8E">
        <w:tc>
          <w:tcPr>
            <w:tcW w:w="3158" w:type="pct"/>
          </w:tcPr>
          <w:p w:rsidR="0027074B" w:rsidRPr="00301B8E" w:rsidRDefault="004B23C3">
            <w:pPr>
              <w:pStyle w:val="af4"/>
              <w:spacing w:before="100" w:beforeAutospacing="1" w:after="100" w:afterAutospacing="1"/>
              <w:ind w:firstLineChars="50" w:firstLine="105"/>
              <w:rPr>
                <w:sz w:val="21"/>
                <w:szCs w:val="21"/>
              </w:rPr>
            </w:pPr>
            <w:r w:rsidRPr="00301B8E">
              <w:rPr>
                <w:sz w:val="21"/>
                <w:szCs w:val="21"/>
              </w:rPr>
              <w:t>总铬（</w:t>
            </w:r>
            <w:r w:rsidRPr="00301B8E">
              <w:rPr>
                <w:sz w:val="21"/>
                <w:szCs w:val="21"/>
              </w:rPr>
              <w:t>Cr</w:t>
            </w:r>
            <w:r w:rsidRPr="00301B8E">
              <w:rPr>
                <w:sz w:val="21"/>
                <w:szCs w:val="21"/>
              </w:rPr>
              <w:t>）（以干基计），</w:t>
            </w:r>
            <w:r w:rsidRPr="00301B8E">
              <w:rPr>
                <w:sz w:val="21"/>
                <w:szCs w:val="21"/>
              </w:rPr>
              <w:t>mg/kg</w:t>
            </w:r>
          </w:p>
        </w:tc>
        <w:tc>
          <w:tcPr>
            <w:tcW w:w="1842" w:type="pct"/>
          </w:tcPr>
          <w:p w:rsidR="0027074B" w:rsidRPr="00301B8E" w:rsidRDefault="004B23C3" w:rsidP="00301B8E">
            <w:pPr>
              <w:pStyle w:val="af4"/>
              <w:spacing w:before="100" w:beforeAutospacing="1" w:after="100" w:afterAutospacing="1"/>
              <w:jc w:val="center"/>
              <w:rPr>
                <w:sz w:val="21"/>
                <w:szCs w:val="21"/>
              </w:rPr>
            </w:pPr>
            <w:r w:rsidRPr="00301B8E">
              <w:rPr>
                <w:sz w:val="21"/>
                <w:szCs w:val="21"/>
              </w:rPr>
              <w:t>≤ 150</w:t>
            </w:r>
          </w:p>
        </w:tc>
      </w:tr>
    </w:tbl>
    <w:bookmarkEnd w:id="21"/>
    <w:bookmarkEnd w:id="22"/>
    <w:p w:rsidR="0027074B" w:rsidRDefault="004B23C3">
      <w:pPr>
        <w:pStyle w:val="13"/>
        <w:ind w:firstLine="562"/>
        <w:rPr>
          <w:b/>
          <w:bCs/>
        </w:rPr>
      </w:pPr>
      <w:r>
        <w:rPr>
          <w:b/>
          <w:bCs/>
        </w:rPr>
        <w:t>理由及依据：</w:t>
      </w:r>
    </w:p>
    <w:p w:rsidR="0027074B" w:rsidRDefault="00301B8E">
      <w:pPr>
        <w:pStyle w:val="13"/>
        <w:ind w:firstLine="560"/>
      </w:pPr>
      <w:r>
        <w:rPr>
          <w:rFonts w:hint="eastAsia"/>
        </w:rPr>
        <w:lastRenderedPageBreak/>
        <w:t>参考</w:t>
      </w:r>
      <w:r w:rsidRPr="00301B8E">
        <w:rPr>
          <w:rFonts w:hint="eastAsia"/>
        </w:rPr>
        <w:t>《畜禽粪便堆肥技术规范》（</w:t>
      </w:r>
      <w:r w:rsidRPr="00301B8E">
        <w:rPr>
          <w:rFonts w:hint="eastAsia"/>
        </w:rPr>
        <w:t>NY/T 3442-2019</w:t>
      </w:r>
      <w:r w:rsidRPr="00301B8E">
        <w:rPr>
          <w:rFonts w:hint="eastAsia"/>
        </w:rPr>
        <w:t>）</w:t>
      </w:r>
      <w:r>
        <w:rPr>
          <w:rFonts w:hint="eastAsia"/>
        </w:rPr>
        <w:t>中堆肥产物质量要求，本标准选取了无害</w:t>
      </w:r>
      <w:proofErr w:type="gramStart"/>
      <w:r>
        <w:rPr>
          <w:rFonts w:hint="eastAsia"/>
        </w:rPr>
        <w:t>化指标</w:t>
      </w:r>
      <w:proofErr w:type="gramEnd"/>
      <w:r>
        <w:rPr>
          <w:rFonts w:hint="eastAsia"/>
        </w:rPr>
        <w:t>和重金属限量指标。</w:t>
      </w:r>
      <w:r w:rsidR="004B23C3">
        <w:t>种子发芽指数</w:t>
      </w:r>
      <w:r w:rsidR="004B23C3">
        <w:t>≥70</w:t>
      </w:r>
      <w:r>
        <w:t>%</w:t>
      </w:r>
      <w:r w:rsidR="004B23C3">
        <w:t>可确保</w:t>
      </w:r>
      <w:r>
        <w:rPr>
          <w:rFonts w:hint="eastAsia"/>
        </w:rPr>
        <w:t>堆肥后的</w:t>
      </w:r>
      <w:r w:rsidR="004B23C3">
        <w:t>产物</w:t>
      </w:r>
      <w:r>
        <w:rPr>
          <w:rFonts w:hint="eastAsia"/>
        </w:rPr>
        <w:t>达到了无害化要求，</w:t>
      </w:r>
      <w:r w:rsidR="004B23C3">
        <w:t>无植物毒性，保障作物正常生长。蛔虫</w:t>
      </w:r>
      <w:proofErr w:type="gramStart"/>
      <w:r w:rsidR="004B23C3">
        <w:t>卵</w:t>
      </w:r>
      <w:proofErr w:type="gramEnd"/>
      <w:r w:rsidR="004B23C3">
        <w:t>死亡率</w:t>
      </w:r>
      <w:r w:rsidR="004B23C3">
        <w:t>≥95%</w:t>
      </w:r>
      <w:r w:rsidR="004B23C3">
        <w:t>和粪大肠菌群数</w:t>
      </w:r>
      <w:r w:rsidR="004B23C3">
        <w:t>≤100</w:t>
      </w:r>
      <w:r w:rsidR="004B23C3">
        <w:t>个</w:t>
      </w:r>
      <w:r w:rsidR="004B23C3">
        <w:t>/g</w:t>
      </w:r>
      <w:r w:rsidR="004B23C3">
        <w:t>能有效防控生物污染，降低寄生虫和病原菌传播风险。对总砷、总汞、总铅、总镉、</w:t>
      </w:r>
      <w:proofErr w:type="gramStart"/>
      <w:r w:rsidR="004B23C3">
        <w:t>总铬等</w:t>
      </w:r>
      <w:proofErr w:type="gramEnd"/>
      <w:r w:rsidR="004B23C3">
        <w:t>重金属的限量要求，可避免土壤重金属污染及通过食物链对人体健康的危害。</w:t>
      </w:r>
    </w:p>
    <w:p w:rsidR="0027074B" w:rsidRDefault="004B23C3">
      <w:pPr>
        <w:pStyle w:val="1"/>
        <w:spacing w:before="0" w:beforeAutospacing="0" w:after="0" w:afterAutospacing="0"/>
        <w:ind w:firstLineChars="200" w:firstLine="562"/>
        <w:rPr>
          <w:rFonts w:ascii="Times New Roman" w:eastAsia="黑体" w:hAnsi="Times New Roman" w:cs="Times New Roman"/>
          <w:sz w:val="28"/>
          <w:lang w:val="zh-CN"/>
        </w:rPr>
      </w:pPr>
      <w:bookmarkStart w:id="23" w:name="_Toc203082623"/>
      <w:r>
        <w:rPr>
          <w:rFonts w:ascii="Times New Roman" w:eastAsia="黑体" w:hAnsi="Times New Roman" w:cs="Times New Roman"/>
          <w:sz w:val="28"/>
          <w:lang w:val="zh-CN"/>
        </w:rPr>
        <w:t>三、试验验证的分析、综述报告，</w:t>
      </w:r>
      <w:bookmarkStart w:id="24" w:name="_Hlk190156751"/>
      <w:r>
        <w:rPr>
          <w:rFonts w:ascii="Times New Roman" w:eastAsia="黑体" w:hAnsi="Times New Roman" w:cs="Times New Roman"/>
          <w:sz w:val="28"/>
          <w:lang w:val="zh-CN"/>
        </w:rPr>
        <w:t>技术经济论证</w:t>
      </w:r>
      <w:bookmarkEnd w:id="24"/>
      <w:r>
        <w:rPr>
          <w:rFonts w:ascii="Times New Roman" w:eastAsia="黑体" w:hAnsi="Times New Roman" w:cs="Times New Roman"/>
          <w:sz w:val="28"/>
          <w:lang w:val="zh-CN"/>
        </w:rPr>
        <w:t>，预期的经济效益、社会效益和生态效益</w:t>
      </w:r>
      <w:bookmarkEnd w:id="23"/>
    </w:p>
    <w:p w:rsidR="0027074B" w:rsidRDefault="004B23C3">
      <w:pPr>
        <w:pStyle w:val="22"/>
        <w:ind w:firstLine="562"/>
      </w:pPr>
      <w:bookmarkStart w:id="25" w:name="_Toc203082624"/>
      <w:r>
        <w:t>（一）试验验证的分析、综述报告</w:t>
      </w:r>
      <w:bookmarkEnd w:id="25"/>
    </w:p>
    <w:p w:rsidR="0027074B" w:rsidRDefault="004B23C3">
      <w:pPr>
        <w:pStyle w:val="13"/>
        <w:ind w:firstLine="560"/>
      </w:pPr>
      <w:r>
        <w:t>为确保本文件各项技术参数设置合理、切实可行、具备必要性，从实验室试验研究、中试验证、全国示范推广三个层次进行验证分析，具体如下：</w:t>
      </w:r>
    </w:p>
    <w:p w:rsidR="0027074B" w:rsidRDefault="004B23C3">
      <w:pPr>
        <w:pStyle w:val="13"/>
        <w:ind w:firstLine="562"/>
        <w:rPr>
          <w:b/>
          <w:bCs/>
        </w:rPr>
      </w:pPr>
      <w:r>
        <w:rPr>
          <w:b/>
          <w:bCs/>
        </w:rPr>
        <w:t xml:space="preserve">1. </w:t>
      </w:r>
      <w:r>
        <w:rPr>
          <w:b/>
          <w:bCs/>
        </w:rPr>
        <w:t>实验室规模试验验证</w:t>
      </w:r>
    </w:p>
    <w:p w:rsidR="0027074B" w:rsidRDefault="004B23C3">
      <w:pPr>
        <w:pStyle w:val="13"/>
        <w:ind w:firstLine="562"/>
        <w:rPr>
          <w:b/>
          <w:bCs/>
          <w:color w:val="auto"/>
          <w:szCs w:val="28"/>
        </w:rPr>
      </w:pPr>
      <w:r>
        <w:rPr>
          <w:b/>
          <w:bCs/>
        </w:rPr>
        <w:t>（</w:t>
      </w:r>
      <w:r>
        <w:rPr>
          <w:b/>
          <w:bCs/>
        </w:rPr>
        <w:t>1</w:t>
      </w:r>
      <w:r>
        <w:rPr>
          <w:b/>
          <w:bCs/>
        </w:rPr>
        <w:t>）</w:t>
      </w:r>
      <w:r>
        <w:rPr>
          <w:b/>
          <w:bCs/>
          <w:color w:val="auto"/>
          <w:szCs w:val="28"/>
        </w:rPr>
        <w:t>辅料种类试验验证分析</w:t>
      </w:r>
    </w:p>
    <w:p w:rsidR="0027074B" w:rsidRDefault="004B23C3">
      <w:pPr>
        <w:pStyle w:val="13"/>
        <w:ind w:firstLine="560"/>
        <w:rPr>
          <w:color w:val="auto"/>
          <w:szCs w:val="28"/>
        </w:rPr>
      </w:pPr>
      <w:r>
        <w:rPr>
          <w:color w:val="auto"/>
          <w:szCs w:val="28"/>
        </w:rPr>
        <w:t>试验过程以猪粪为主料，分别添加</w:t>
      </w:r>
      <w:r>
        <w:rPr>
          <w:color w:val="auto"/>
          <w:szCs w:val="28"/>
        </w:rPr>
        <w:t>5%</w:t>
      </w:r>
      <w:r>
        <w:rPr>
          <w:color w:val="auto"/>
          <w:szCs w:val="28"/>
        </w:rPr>
        <w:t>、</w:t>
      </w:r>
      <w:r>
        <w:rPr>
          <w:color w:val="auto"/>
          <w:szCs w:val="28"/>
        </w:rPr>
        <w:t>10%</w:t>
      </w:r>
      <w:r>
        <w:rPr>
          <w:color w:val="auto"/>
          <w:szCs w:val="28"/>
        </w:rPr>
        <w:t>、</w:t>
      </w:r>
      <w:r>
        <w:rPr>
          <w:color w:val="auto"/>
          <w:szCs w:val="28"/>
        </w:rPr>
        <w:t>15%</w:t>
      </w:r>
      <w:r>
        <w:rPr>
          <w:color w:val="auto"/>
          <w:szCs w:val="28"/>
        </w:rPr>
        <w:t>（基于湿重）玉米秸秆作为辅料进行覆膜堆肥，混合物料</w:t>
      </w:r>
      <w:r>
        <w:rPr>
          <w:color w:val="auto"/>
          <w:szCs w:val="28"/>
        </w:rPr>
        <w:t>C/N</w:t>
      </w:r>
      <w:r>
        <w:rPr>
          <w:color w:val="auto"/>
          <w:szCs w:val="28"/>
        </w:rPr>
        <w:t>为</w:t>
      </w:r>
      <w:r w:rsidR="00F30DBC">
        <w:rPr>
          <w:color w:val="auto"/>
          <w:szCs w:val="28"/>
        </w:rPr>
        <w:t>12~</w:t>
      </w:r>
      <w:r>
        <w:rPr>
          <w:color w:val="auto"/>
          <w:szCs w:val="28"/>
        </w:rPr>
        <w:t>16</w:t>
      </w:r>
      <w:r>
        <w:rPr>
          <w:color w:val="auto"/>
          <w:szCs w:val="28"/>
        </w:rPr>
        <w:t>，初始含水率为</w:t>
      </w:r>
      <w:r>
        <w:rPr>
          <w:color w:val="auto"/>
          <w:szCs w:val="28"/>
        </w:rPr>
        <w:t>56%~64%</w:t>
      </w:r>
      <w:r>
        <w:rPr>
          <w:color w:val="auto"/>
          <w:szCs w:val="28"/>
        </w:rPr>
        <w:t>，各处理物料总重为</w:t>
      </w:r>
      <w:r w:rsidR="00F30DBC">
        <w:rPr>
          <w:color w:val="auto"/>
          <w:szCs w:val="28"/>
        </w:rPr>
        <w:t>0.9~</w:t>
      </w:r>
      <w:r>
        <w:rPr>
          <w:color w:val="auto"/>
          <w:szCs w:val="28"/>
        </w:rPr>
        <w:t xml:space="preserve">1 </w:t>
      </w:r>
      <w:r>
        <w:rPr>
          <w:color w:val="auto"/>
          <w:szCs w:val="28"/>
        </w:rPr>
        <w:t>吨，设置成约长</w:t>
      </w:r>
      <w:r>
        <w:rPr>
          <w:color w:val="auto"/>
          <w:szCs w:val="28"/>
        </w:rPr>
        <w:t>1.5 m</w:t>
      </w:r>
      <w:r>
        <w:rPr>
          <w:color w:val="auto"/>
          <w:szCs w:val="28"/>
        </w:rPr>
        <w:t>、宽</w:t>
      </w:r>
      <w:r>
        <w:rPr>
          <w:color w:val="auto"/>
          <w:szCs w:val="28"/>
        </w:rPr>
        <w:t>1 m</w:t>
      </w:r>
      <w:r>
        <w:rPr>
          <w:color w:val="auto"/>
          <w:szCs w:val="28"/>
        </w:rPr>
        <w:t>、高</w:t>
      </w:r>
      <w:r>
        <w:rPr>
          <w:color w:val="auto"/>
          <w:szCs w:val="28"/>
        </w:rPr>
        <w:t>0.8 m</w:t>
      </w:r>
      <w:r>
        <w:rPr>
          <w:color w:val="auto"/>
          <w:szCs w:val="28"/>
        </w:rPr>
        <w:t>的长方体堆体，试验于</w:t>
      </w:r>
      <w:r>
        <w:rPr>
          <w:color w:val="auto"/>
          <w:szCs w:val="28"/>
        </w:rPr>
        <w:t>2025</w:t>
      </w:r>
      <w:r>
        <w:rPr>
          <w:color w:val="auto"/>
          <w:szCs w:val="28"/>
        </w:rPr>
        <w:t>年</w:t>
      </w:r>
      <w:r>
        <w:rPr>
          <w:color w:val="auto"/>
          <w:szCs w:val="28"/>
        </w:rPr>
        <w:t>10</w:t>
      </w:r>
      <w:r>
        <w:rPr>
          <w:color w:val="auto"/>
          <w:szCs w:val="28"/>
        </w:rPr>
        <w:t>月</w:t>
      </w:r>
      <w:r>
        <w:rPr>
          <w:color w:val="auto"/>
          <w:szCs w:val="28"/>
        </w:rPr>
        <w:t>31</w:t>
      </w:r>
      <w:r>
        <w:rPr>
          <w:color w:val="auto"/>
          <w:szCs w:val="28"/>
        </w:rPr>
        <w:t>日开始，至</w:t>
      </w:r>
      <w:r>
        <w:rPr>
          <w:color w:val="auto"/>
          <w:szCs w:val="28"/>
        </w:rPr>
        <w:t>12</w:t>
      </w:r>
      <w:r>
        <w:rPr>
          <w:color w:val="auto"/>
          <w:szCs w:val="28"/>
        </w:rPr>
        <w:t>月</w:t>
      </w:r>
      <w:r>
        <w:rPr>
          <w:color w:val="auto"/>
          <w:szCs w:val="28"/>
        </w:rPr>
        <w:t>10</w:t>
      </w:r>
      <w:r>
        <w:rPr>
          <w:color w:val="auto"/>
          <w:szCs w:val="28"/>
        </w:rPr>
        <w:t>日结束，历时</w:t>
      </w:r>
      <w:r>
        <w:rPr>
          <w:color w:val="auto"/>
          <w:szCs w:val="28"/>
        </w:rPr>
        <w:t>40 d</w:t>
      </w:r>
      <w:r>
        <w:rPr>
          <w:color w:val="auto"/>
          <w:szCs w:val="28"/>
        </w:rPr>
        <w:t>。</w:t>
      </w:r>
    </w:p>
    <w:p w:rsidR="0027074B" w:rsidRDefault="004B23C3">
      <w:pPr>
        <w:pStyle w:val="13"/>
        <w:ind w:firstLineChars="0" w:firstLine="0"/>
        <w:jc w:val="center"/>
        <w:rPr>
          <w:b/>
          <w:bCs/>
          <w:szCs w:val="28"/>
        </w:rPr>
      </w:pPr>
      <w:r>
        <w:rPr>
          <w:noProof/>
        </w:rPr>
        <w:lastRenderedPageBreak/>
        <w:drawing>
          <wp:inline distT="0" distB="0" distL="114300" distR="114300">
            <wp:extent cx="5270500" cy="2943860"/>
            <wp:effectExtent l="0" t="0" r="2540" b="1270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5270500" cy="2943860"/>
                    </a:xfrm>
                    <a:prstGeom prst="rect">
                      <a:avLst/>
                    </a:prstGeom>
                    <a:noFill/>
                    <a:ln>
                      <a:noFill/>
                    </a:ln>
                  </pic:spPr>
                </pic:pic>
              </a:graphicData>
            </a:graphic>
          </wp:inline>
        </w:drawing>
      </w:r>
    </w:p>
    <w:p w:rsidR="0027074B" w:rsidRDefault="004B23C3">
      <w:pPr>
        <w:pStyle w:val="af6"/>
      </w:pPr>
      <w:r>
        <w:t>图</w:t>
      </w:r>
      <w:r>
        <w:t xml:space="preserve">7 </w:t>
      </w:r>
      <w:r>
        <w:rPr>
          <w:szCs w:val="28"/>
        </w:rPr>
        <w:t>覆膜堆肥</w:t>
      </w:r>
      <w:r>
        <w:t>实景图（</w:t>
      </w:r>
      <w:r>
        <w:rPr>
          <w:rFonts w:hint="eastAsia"/>
        </w:rPr>
        <w:t>a</w:t>
      </w:r>
      <w:r>
        <w:t>）及固体取样点位（</w:t>
      </w:r>
      <w:r>
        <w:t>b</w:t>
      </w:r>
      <w:r>
        <w:t>）、气体取样点位（</w:t>
      </w:r>
      <w:r>
        <w:t>c</w:t>
      </w:r>
      <w:r>
        <w:t>）</w:t>
      </w:r>
    </w:p>
    <w:p w:rsidR="0027074B" w:rsidRDefault="004B23C3">
      <w:pPr>
        <w:pStyle w:val="13"/>
        <w:ind w:firstLine="560"/>
      </w:pPr>
      <w:r>
        <w:rPr>
          <w:rFonts w:hint="eastAsia"/>
        </w:rPr>
        <w:t>覆膜堆肥</w:t>
      </w:r>
      <w:r>
        <w:t>结果表明，纯猪粪处理在整个</w:t>
      </w:r>
      <w:r>
        <w:rPr>
          <w:color w:val="auto"/>
          <w:szCs w:val="28"/>
        </w:rPr>
        <w:t>堆肥</w:t>
      </w:r>
      <w:r>
        <w:t>周期温度约为</w:t>
      </w:r>
      <w:r>
        <w:rPr>
          <w:rFonts w:hint="eastAsia"/>
        </w:rPr>
        <w:t>2</w:t>
      </w:r>
      <w:r>
        <w:t>0 ℃</w:t>
      </w:r>
      <w:r>
        <w:t>左右，未达到</w:t>
      </w:r>
      <w:r>
        <w:t>50.0 ℃</w:t>
      </w:r>
      <w:r>
        <w:t>。添加</w:t>
      </w:r>
      <w:r>
        <w:t>5%</w:t>
      </w:r>
      <w:r>
        <w:t>、</w:t>
      </w:r>
      <w:r>
        <w:t>10%</w:t>
      </w:r>
      <w:r>
        <w:t>、</w:t>
      </w:r>
      <w:r>
        <w:t>15%</w:t>
      </w:r>
      <w:r>
        <w:t>秸秆最高温度分别为</w:t>
      </w:r>
      <w:r>
        <w:t>51.9</w:t>
      </w:r>
      <w:r>
        <w:t>、</w:t>
      </w:r>
      <w:r>
        <w:t>57.4</w:t>
      </w:r>
      <w:r>
        <w:t>、</w:t>
      </w:r>
      <w:r>
        <w:t>61.0 ℃</w:t>
      </w:r>
      <w:r>
        <w:t>，高温</w:t>
      </w:r>
      <w:proofErr w:type="gramStart"/>
      <w:r>
        <w:t>期</w:t>
      </w:r>
      <w:r>
        <w:rPr>
          <w:rFonts w:hint="eastAsia"/>
        </w:rPr>
        <w:t>时间</w:t>
      </w:r>
      <w:proofErr w:type="gramEnd"/>
      <w:r>
        <w:t>持续</w:t>
      </w:r>
      <w:r>
        <w:t>10d</w:t>
      </w:r>
      <w:r>
        <w:t>，可达到《畜禽粪污无害化处理技术规范》（</w:t>
      </w:r>
      <w:r>
        <w:t>GB/T 36195-2018</w:t>
      </w:r>
      <w:r>
        <w:t>）</w:t>
      </w:r>
      <w:r>
        <w:rPr>
          <w:color w:val="auto"/>
          <w:szCs w:val="28"/>
        </w:rPr>
        <w:t>覆膜堆肥</w:t>
      </w:r>
      <w:r>
        <w:t>温度维持</w:t>
      </w:r>
      <w:r>
        <w:t>50 ℃</w:t>
      </w:r>
      <w:r>
        <w:t>以上不少于</w:t>
      </w:r>
      <w:r>
        <w:t>7 d</w:t>
      </w:r>
      <w:r>
        <w:t>的要求。另外，氧气含量与温度呈负相关。</w:t>
      </w:r>
      <w:r>
        <w:rPr>
          <w:color w:val="auto"/>
          <w:szCs w:val="28"/>
        </w:rPr>
        <w:t>覆膜堆肥</w:t>
      </w:r>
      <w:r>
        <w:t>结束时，各处理</w:t>
      </w:r>
      <w:r>
        <w:t>pH</w:t>
      </w:r>
      <w:r>
        <w:t>、</w:t>
      </w:r>
      <w:r>
        <w:t>EC</w:t>
      </w:r>
      <w:r>
        <w:t>符合《有机肥料》（</w:t>
      </w:r>
      <w:r>
        <w:t>NY/T525-2021</w:t>
      </w:r>
      <w:r>
        <w:t>）标准，</w:t>
      </w:r>
      <w:r>
        <w:t>10%</w:t>
      </w:r>
      <w:r>
        <w:t>和</w:t>
      </w:r>
      <w:r>
        <w:t>15%</w:t>
      </w:r>
      <w:r>
        <w:t>秸秆可在</w:t>
      </w:r>
      <w:r>
        <w:t>40d</w:t>
      </w:r>
      <w:r>
        <w:t>内达到</w:t>
      </w:r>
      <w:r>
        <w:rPr>
          <w:rFonts w:hint="eastAsia"/>
        </w:rPr>
        <w:t>75%</w:t>
      </w:r>
      <w:r>
        <w:rPr>
          <w:rFonts w:hint="eastAsia"/>
        </w:rPr>
        <w:t>，符合标准中</w:t>
      </w:r>
      <w:r>
        <w:t>种子发芽指数</w:t>
      </w:r>
      <w:r>
        <w:t>≥70%</w:t>
      </w:r>
      <w:r>
        <w:t>的要求。</w:t>
      </w:r>
    </w:p>
    <w:p w:rsidR="0027074B" w:rsidRDefault="004B23C3">
      <w:pPr>
        <w:pStyle w:val="13"/>
        <w:ind w:firstLine="560"/>
        <w:jc w:val="center"/>
        <w:rPr>
          <w:bCs/>
          <w:szCs w:val="28"/>
        </w:rPr>
      </w:pPr>
      <w:r>
        <w:rPr>
          <w:bCs/>
          <w:noProof/>
          <w:szCs w:val="28"/>
        </w:rPr>
        <w:lastRenderedPageBreak/>
        <w:drawing>
          <wp:inline distT="0" distB="0" distL="0" distR="0">
            <wp:extent cx="4314190" cy="5368925"/>
            <wp:effectExtent l="0" t="0" r="13970" b="10795"/>
            <wp:docPr id="172639169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391695"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4314190" cy="5368925"/>
                    </a:xfrm>
                    <a:prstGeom prst="rect">
                      <a:avLst/>
                    </a:prstGeom>
                    <a:noFill/>
                    <a:ln>
                      <a:noFill/>
                    </a:ln>
                  </pic:spPr>
                </pic:pic>
              </a:graphicData>
            </a:graphic>
          </wp:inline>
        </w:drawing>
      </w:r>
    </w:p>
    <w:p w:rsidR="0027074B" w:rsidRDefault="004B23C3">
      <w:pPr>
        <w:pStyle w:val="af6"/>
      </w:pPr>
      <w:r>
        <w:t>图</w:t>
      </w:r>
      <w:r>
        <w:t xml:space="preserve">8 </w:t>
      </w:r>
      <w:r>
        <w:t>不同辅料比例对覆膜堆肥温度（</w:t>
      </w:r>
      <w:r>
        <w:t>a</w:t>
      </w:r>
      <w:r>
        <w:t>）、氧气浓度（</w:t>
      </w:r>
      <w:r>
        <w:t>b</w:t>
      </w:r>
      <w:r>
        <w:t>）、</w:t>
      </w:r>
      <w:r>
        <w:t>pH</w:t>
      </w:r>
      <w:r>
        <w:t>（</w:t>
      </w:r>
      <w:r>
        <w:t>c</w:t>
      </w:r>
      <w:r>
        <w:t>）、</w:t>
      </w:r>
      <w:r>
        <w:t>NH</w:t>
      </w:r>
      <w:r>
        <w:rPr>
          <w:vertAlign w:val="subscript"/>
        </w:rPr>
        <w:t>4</w:t>
      </w:r>
      <w:r>
        <w:rPr>
          <w:vertAlign w:val="superscript"/>
        </w:rPr>
        <w:t>+</w:t>
      </w:r>
      <w:r>
        <w:t>-N</w:t>
      </w:r>
      <w:r>
        <w:t>（</w:t>
      </w:r>
      <w:r>
        <w:t>d</w:t>
      </w:r>
      <w:r>
        <w:t>）、</w:t>
      </w:r>
      <w:r>
        <w:t>EC</w:t>
      </w:r>
      <w:r>
        <w:t>（</w:t>
      </w:r>
      <w:r>
        <w:t>e</w:t>
      </w:r>
      <w:r>
        <w:t>）、</w:t>
      </w:r>
      <w:r>
        <w:t>GI</w:t>
      </w:r>
      <w:r>
        <w:t>（</w:t>
      </w:r>
      <w:r>
        <w:t>f</w:t>
      </w:r>
      <w:r>
        <w:t>）的影响</w:t>
      </w:r>
    </w:p>
    <w:p w:rsidR="0027074B" w:rsidRDefault="004B23C3">
      <w:pPr>
        <w:pStyle w:val="13"/>
        <w:ind w:firstLine="562"/>
        <w:rPr>
          <w:b/>
          <w:bCs/>
          <w:color w:val="auto"/>
          <w:szCs w:val="28"/>
        </w:rPr>
      </w:pPr>
      <w:r>
        <w:rPr>
          <w:b/>
          <w:bCs/>
          <w:color w:val="auto"/>
          <w:szCs w:val="28"/>
        </w:rPr>
        <w:t>（</w:t>
      </w:r>
      <w:r>
        <w:rPr>
          <w:b/>
          <w:bCs/>
          <w:color w:val="auto"/>
          <w:szCs w:val="28"/>
        </w:rPr>
        <w:t>2</w:t>
      </w:r>
      <w:r>
        <w:rPr>
          <w:b/>
          <w:bCs/>
          <w:color w:val="auto"/>
          <w:szCs w:val="28"/>
        </w:rPr>
        <w:t>）辅料种类试验分析</w:t>
      </w:r>
    </w:p>
    <w:p w:rsidR="0027074B" w:rsidRDefault="004B23C3">
      <w:pPr>
        <w:pStyle w:val="13"/>
        <w:ind w:firstLine="560"/>
      </w:pPr>
      <w:r>
        <w:rPr>
          <w:rFonts w:hint="eastAsia"/>
        </w:rPr>
        <w:t>堆肥物料</w:t>
      </w:r>
      <w:r>
        <w:t>以猪粪为主料，分别添加</w:t>
      </w:r>
      <w:r>
        <w:t>10%</w:t>
      </w:r>
      <w:r>
        <w:t>（基于湿重）玉米秸秆、甘蔗渣、烟</w:t>
      </w:r>
      <w:proofErr w:type="gramStart"/>
      <w:r>
        <w:t>末作为</w:t>
      </w:r>
      <w:proofErr w:type="gramEnd"/>
      <w:r>
        <w:t>辅料进行</w:t>
      </w:r>
      <w:r>
        <w:rPr>
          <w:rFonts w:hint="eastAsia"/>
          <w:color w:val="auto"/>
          <w:szCs w:val="28"/>
        </w:rPr>
        <w:t>覆膜堆肥</w:t>
      </w:r>
      <w:r>
        <w:t>，混合物料</w:t>
      </w:r>
      <w:r>
        <w:t>C/N</w:t>
      </w:r>
      <w:r>
        <w:t>为</w:t>
      </w:r>
      <w:r>
        <w:t>10~17</w:t>
      </w:r>
      <w:r>
        <w:t>，初始含水率为</w:t>
      </w:r>
      <w:r>
        <w:t>62%~68%</w:t>
      </w:r>
      <w:r>
        <w:t>，各处理物料总重为</w:t>
      </w:r>
      <w:r>
        <w:t>0.9 ~ 1 t</w:t>
      </w:r>
      <w:r>
        <w:t>，设置成约长</w:t>
      </w:r>
      <w:r>
        <w:t>1.5 m</w:t>
      </w:r>
      <w:r>
        <w:t>、宽</w:t>
      </w:r>
      <w:r>
        <w:t>1.0 m</w:t>
      </w:r>
      <w:r>
        <w:t>、高</w:t>
      </w:r>
      <w:r>
        <w:t>0.8 m</w:t>
      </w:r>
      <w:r>
        <w:t>的长方体堆体。试验过程同上。</w:t>
      </w:r>
    </w:p>
    <w:p w:rsidR="0027074B" w:rsidRDefault="004B23C3">
      <w:pPr>
        <w:ind w:firstLine="560"/>
        <w:jc w:val="center"/>
        <w:rPr>
          <w:rFonts w:eastAsia="宋体"/>
          <w:sz w:val="28"/>
          <w:szCs w:val="28"/>
        </w:rPr>
      </w:pPr>
      <w:bookmarkStart w:id="26" w:name="_Hlk168564407"/>
      <w:r>
        <w:rPr>
          <w:rFonts w:eastAsia="宋体"/>
          <w:noProof/>
          <w:sz w:val="28"/>
          <w:szCs w:val="28"/>
        </w:rPr>
        <w:lastRenderedPageBreak/>
        <w:drawing>
          <wp:inline distT="0" distB="0" distL="0" distR="0">
            <wp:extent cx="2483485" cy="1737360"/>
            <wp:effectExtent l="0" t="0" r="635" b="0"/>
            <wp:docPr id="181058455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0584555" name="图片 9"/>
                    <pic:cNvPicPr>
                      <a:picLocks noChangeAspect="1" noChangeArrowheads="1"/>
                    </pic:cNvPicPr>
                  </pic:nvPicPr>
                  <pic:blipFill>
                    <a:blip r:embed="rId17">
                      <a:extLst>
                        <a:ext uri="{28A0092B-C50C-407E-A947-70E740481C1C}">
                          <a14:useLocalDpi xmlns:a14="http://schemas.microsoft.com/office/drawing/2010/main" val="0"/>
                        </a:ext>
                      </a:extLst>
                    </a:blip>
                    <a:srcRect l="9491" t="6640" r="1480"/>
                    <a:stretch>
                      <a:fillRect/>
                    </a:stretch>
                  </pic:blipFill>
                  <pic:spPr>
                    <a:xfrm>
                      <a:off x="0" y="0"/>
                      <a:ext cx="2483485" cy="1737360"/>
                    </a:xfrm>
                    <a:prstGeom prst="rect">
                      <a:avLst/>
                    </a:prstGeom>
                    <a:noFill/>
                    <a:ln>
                      <a:noFill/>
                    </a:ln>
                  </pic:spPr>
                </pic:pic>
              </a:graphicData>
            </a:graphic>
          </wp:inline>
        </w:drawing>
      </w:r>
    </w:p>
    <w:p w:rsidR="0027074B" w:rsidRDefault="004B23C3">
      <w:pPr>
        <w:pStyle w:val="af6"/>
        <w:rPr>
          <w:rFonts w:eastAsia="宋体"/>
          <w:sz w:val="28"/>
          <w:szCs w:val="28"/>
        </w:rPr>
      </w:pPr>
      <w:r>
        <w:t>图</w:t>
      </w:r>
      <w:r>
        <w:t xml:space="preserve">9 </w:t>
      </w:r>
      <w:r>
        <w:t>覆膜堆肥实景图</w:t>
      </w:r>
      <w:bookmarkEnd w:id="26"/>
    </w:p>
    <w:p w:rsidR="0027074B" w:rsidRDefault="004B23C3">
      <w:pPr>
        <w:pStyle w:val="13"/>
        <w:ind w:firstLine="560"/>
        <w:rPr>
          <w:bCs/>
        </w:rPr>
      </w:pPr>
      <w:r>
        <w:rPr>
          <w:rFonts w:hint="eastAsia"/>
        </w:rPr>
        <w:t>试验</w:t>
      </w:r>
      <w:r>
        <w:t>结果表明，对于不同辅料，烟</w:t>
      </w:r>
      <w:proofErr w:type="gramStart"/>
      <w:r>
        <w:t>末可</w:t>
      </w:r>
      <w:proofErr w:type="gramEnd"/>
      <w:r>
        <w:t>使得覆膜堆肥温度保持在</w:t>
      </w:r>
      <w:r>
        <w:t>40~50 ℃</w:t>
      </w:r>
      <w:r>
        <w:t>。秸秆、甘蔗渣覆膜堆肥均在第</w:t>
      </w:r>
      <w:r>
        <w:t>3d</w:t>
      </w:r>
      <w:r>
        <w:t>达到</w:t>
      </w:r>
      <w:r>
        <w:t>50.0 ℃</w:t>
      </w:r>
      <w:r>
        <w:t>以上</w:t>
      </w:r>
      <w:bookmarkStart w:id="27" w:name="_Hlk187659415"/>
      <w:r>
        <w:t>，高温期均持续</w:t>
      </w:r>
      <w:r>
        <w:t>10d</w:t>
      </w:r>
      <w:r>
        <w:t>，可达到《畜禽粪污无害化处理技术规范》（</w:t>
      </w:r>
      <w:r>
        <w:t>GB/T 36195-2018</w:t>
      </w:r>
      <w:r>
        <w:t>）覆膜堆肥温度维持</w:t>
      </w:r>
      <w:r>
        <w:t>50℃</w:t>
      </w:r>
      <w:r>
        <w:t>以上不少于</w:t>
      </w:r>
      <w:r>
        <w:t>7 d</w:t>
      </w:r>
      <w:r>
        <w:t>的要求。</w:t>
      </w:r>
      <w:bookmarkEnd w:id="27"/>
      <w:r>
        <w:t>各处理各点位</w:t>
      </w:r>
      <w:r>
        <w:t>O</w:t>
      </w:r>
      <w:r>
        <w:rPr>
          <w:vertAlign w:val="subscript"/>
        </w:rPr>
        <w:t>2</w:t>
      </w:r>
      <w:r>
        <w:t>含量变化趋势与温度相反。覆膜堆肥结束时，各处理</w:t>
      </w:r>
      <w:r>
        <w:t>pH</w:t>
      </w:r>
      <w:r>
        <w:t>、</w:t>
      </w:r>
      <w:r>
        <w:t>EC</w:t>
      </w:r>
      <w:r>
        <w:t>值均满足</w:t>
      </w:r>
      <w:r>
        <w:rPr>
          <w:bCs/>
        </w:rPr>
        <w:t>《有机肥料》（</w:t>
      </w:r>
      <w:r>
        <w:rPr>
          <w:bCs/>
        </w:rPr>
        <w:t>NY/T 525-2021</w:t>
      </w:r>
      <w:r>
        <w:rPr>
          <w:bCs/>
        </w:rPr>
        <w:t>）要求，不会对植物产生毒害作用。</w:t>
      </w:r>
      <w:r>
        <w:rPr>
          <w:rFonts w:hint="eastAsia"/>
          <w:bCs/>
        </w:rPr>
        <w:t>此外，</w:t>
      </w:r>
      <w:r>
        <w:t>秸秆、甘蔗渣、烟</w:t>
      </w:r>
      <w:proofErr w:type="gramStart"/>
      <w:r>
        <w:t>末处理</w:t>
      </w:r>
      <w:proofErr w:type="gramEnd"/>
      <w:r>
        <w:t>的种子发芽指数可分别达到</w:t>
      </w:r>
      <w:r>
        <w:t>111.2%</w:t>
      </w:r>
      <w:r>
        <w:t>、</w:t>
      </w:r>
      <w:r>
        <w:t>104.0%</w:t>
      </w:r>
      <w:r>
        <w:t>、</w:t>
      </w:r>
      <w:r>
        <w:t>99.5%</w:t>
      </w:r>
      <w:r>
        <w:t>，均</w:t>
      </w:r>
      <w:r>
        <w:rPr>
          <w:bCs/>
        </w:rPr>
        <w:t>已达到腐熟</w:t>
      </w:r>
      <w:r>
        <w:rPr>
          <w:rFonts w:hint="eastAsia"/>
          <w:bCs/>
        </w:rPr>
        <w:t>标准</w:t>
      </w:r>
      <w:r>
        <w:rPr>
          <w:bCs/>
        </w:rPr>
        <w:t>。</w:t>
      </w:r>
    </w:p>
    <w:p w:rsidR="0027074B" w:rsidRDefault="004B23C3">
      <w:pPr>
        <w:pStyle w:val="af6"/>
        <w:rPr>
          <w:rFonts w:eastAsia="宋体"/>
          <w:sz w:val="28"/>
          <w:szCs w:val="28"/>
        </w:rPr>
      </w:pPr>
      <w:r>
        <w:rPr>
          <w:rFonts w:eastAsia="宋体"/>
          <w:noProof/>
          <w:sz w:val="28"/>
          <w:szCs w:val="28"/>
        </w:rPr>
        <w:lastRenderedPageBreak/>
        <w:drawing>
          <wp:inline distT="0" distB="0" distL="0" distR="0">
            <wp:extent cx="4274820" cy="4918710"/>
            <wp:effectExtent l="0" t="0" r="7620" b="3810"/>
            <wp:docPr id="162622838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228389" name="图片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276340" cy="4920686"/>
                    </a:xfrm>
                    <a:prstGeom prst="rect">
                      <a:avLst/>
                    </a:prstGeom>
                    <a:noFill/>
                    <a:ln>
                      <a:noFill/>
                    </a:ln>
                  </pic:spPr>
                </pic:pic>
              </a:graphicData>
            </a:graphic>
          </wp:inline>
        </w:drawing>
      </w:r>
    </w:p>
    <w:p w:rsidR="0027074B" w:rsidRDefault="004B23C3">
      <w:pPr>
        <w:pStyle w:val="af6"/>
      </w:pPr>
      <w:r>
        <w:t>图</w:t>
      </w:r>
      <w:r>
        <w:t>10</w:t>
      </w:r>
      <w:r>
        <w:t>不同辅料种类对覆膜堆肥过程的影响</w:t>
      </w:r>
    </w:p>
    <w:p w:rsidR="0027074B" w:rsidRDefault="004B23C3">
      <w:pPr>
        <w:pStyle w:val="13"/>
        <w:ind w:firstLineChars="0" w:firstLine="0"/>
        <w:jc w:val="center"/>
        <w:rPr>
          <w:sz w:val="24"/>
          <w:szCs w:val="21"/>
        </w:rPr>
      </w:pPr>
      <w:r>
        <w:rPr>
          <w:sz w:val="24"/>
          <w:szCs w:val="21"/>
        </w:rPr>
        <w:t>其中：温度（</w:t>
      </w:r>
      <w:r>
        <w:rPr>
          <w:sz w:val="24"/>
          <w:szCs w:val="21"/>
        </w:rPr>
        <w:t>a</w:t>
      </w:r>
      <w:r>
        <w:rPr>
          <w:sz w:val="24"/>
          <w:szCs w:val="21"/>
        </w:rPr>
        <w:t>）、</w:t>
      </w:r>
      <w:r>
        <w:rPr>
          <w:bCs/>
          <w:sz w:val="24"/>
          <w:szCs w:val="21"/>
        </w:rPr>
        <w:t>O</w:t>
      </w:r>
      <w:r>
        <w:rPr>
          <w:bCs/>
          <w:sz w:val="24"/>
          <w:szCs w:val="21"/>
          <w:vertAlign w:val="subscript"/>
        </w:rPr>
        <w:t>2</w:t>
      </w:r>
      <w:r>
        <w:rPr>
          <w:sz w:val="24"/>
          <w:szCs w:val="21"/>
        </w:rPr>
        <w:t>浓度（</w:t>
      </w:r>
      <w:r>
        <w:rPr>
          <w:sz w:val="24"/>
          <w:szCs w:val="21"/>
        </w:rPr>
        <w:t>b</w:t>
      </w:r>
      <w:r>
        <w:rPr>
          <w:sz w:val="24"/>
          <w:szCs w:val="21"/>
        </w:rPr>
        <w:t>）、</w:t>
      </w:r>
      <w:r>
        <w:rPr>
          <w:sz w:val="24"/>
          <w:szCs w:val="21"/>
        </w:rPr>
        <w:t>pH</w:t>
      </w:r>
      <w:r>
        <w:rPr>
          <w:sz w:val="24"/>
          <w:szCs w:val="21"/>
        </w:rPr>
        <w:t>（</w:t>
      </w:r>
      <w:r>
        <w:rPr>
          <w:sz w:val="24"/>
          <w:szCs w:val="21"/>
        </w:rPr>
        <w:t>c</w:t>
      </w:r>
      <w:r>
        <w:rPr>
          <w:sz w:val="24"/>
          <w:szCs w:val="21"/>
        </w:rPr>
        <w:t>）、</w:t>
      </w:r>
      <w:r>
        <w:rPr>
          <w:sz w:val="24"/>
          <w:szCs w:val="21"/>
        </w:rPr>
        <w:t>NH</w:t>
      </w:r>
      <w:r>
        <w:rPr>
          <w:sz w:val="24"/>
          <w:szCs w:val="21"/>
          <w:vertAlign w:val="subscript"/>
        </w:rPr>
        <w:t>4</w:t>
      </w:r>
      <w:r>
        <w:rPr>
          <w:sz w:val="24"/>
          <w:szCs w:val="21"/>
          <w:vertAlign w:val="superscript"/>
        </w:rPr>
        <w:t>+</w:t>
      </w:r>
      <w:r>
        <w:rPr>
          <w:sz w:val="24"/>
          <w:szCs w:val="21"/>
        </w:rPr>
        <w:t>-N</w:t>
      </w:r>
      <w:r>
        <w:rPr>
          <w:sz w:val="24"/>
          <w:szCs w:val="21"/>
        </w:rPr>
        <w:t>（</w:t>
      </w:r>
      <w:r>
        <w:rPr>
          <w:sz w:val="24"/>
          <w:szCs w:val="21"/>
        </w:rPr>
        <w:t>d</w:t>
      </w:r>
      <w:r>
        <w:rPr>
          <w:sz w:val="24"/>
          <w:szCs w:val="21"/>
        </w:rPr>
        <w:t>）、</w:t>
      </w:r>
      <w:r>
        <w:rPr>
          <w:sz w:val="24"/>
          <w:szCs w:val="21"/>
        </w:rPr>
        <w:t>EC</w:t>
      </w:r>
      <w:r>
        <w:rPr>
          <w:sz w:val="24"/>
          <w:szCs w:val="21"/>
        </w:rPr>
        <w:t>（</w:t>
      </w:r>
      <w:r>
        <w:rPr>
          <w:sz w:val="24"/>
          <w:szCs w:val="21"/>
        </w:rPr>
        <w:t>e</w:t>
      </w:r>
      <w:r>
        <w:rPr>
          <w:sz w:val="24"/>
          <w:szCs w:val="21"/>
        </w:rPr>
        <w:t>）、</w:t>
      </w:r>
      <w:r>
        <w:rPr>
          <w:sz w:val="24"/>
          <w:szCs w:val="21"/>
        </w:rPr>
        <w:t>GI</w:t>
      </w:r>
      <w:r>
        <w:rPr>
          <w:sz w:val="24"/>
          <w:szCs w:val="21"/>
        </w:rPr>
        <w:t>（</w:t>
      </w:r>
      <w:r>
        <w:rPr>
          <w:sz w:val="24"/>
          <w:szCs w:val="21"/>
        </w:rPr>
        <w:t>f</w:t>
      </w:r>
      <w:r>
        <w:rPr>
          <w:sz w:val="24"/>
          <w:szCs w:val="21"/>
        </w:rPr>
        <w:t>）的影响</w:t>
      </w:r>
    </w:p>
    <w:p w:rsidR="0027074B" w:rsidRDefault="004B23C3">
      <w:pPr>
        <w:pStyle w:val="13"/>
        <w:ind w:firstLine="562"/>
        <w:rPr>
          <w:b/>
          <w:bCs/>
        </w:rPr>
      </w:pPr>
      <w:r>
        <w:rPr>
          <w:b/>
          <w:bCs/>
        </w:rPr>
        <w:t>（</w:t>
      </w:r>
      <w:r>
        <w:rPr>
          <w:b/>
          <w:bCs/>
        </w:rPr>
        <w:t>3</w:t>
      </w:r>
      <w:r>
        <w:rPr>
          <w:b/>
          <w:bCs/>
        </w:rPr>
        <w:t>）辅料粒径试验验证分析</w:t>
      </w:r>
    </w:p>
    <w:p w:rsidR="0027074B" w:rsidRDefault="004B23C3">
      <w:pPr>
        <w:pStyle w:val="13"/>
        <w:ind w:firstLine="560"/>
      </w:pPr>
      <w:r>
        <w:rPr>
          <w:rFonts w:hint="eastAsia"/>
        </w:rPr>
        <w:t>堆肥试验</w:t>
      </w:r>
      <w:r>
        <w:t>以猪粪为主料，添加</w:t>
      </w:r>
      <w:r>
        <w:t>10%</w:t>
      </w:r>
      <w:r>
        <w:t>（基于湿重）不同粒径的玉米秸秆作为辅料，秸秆粒径分别设置</w:t>
      </w:r>
      <w:r>
        <w:t>0~2</w:t>
      </w:r>
      <w:r>
        <w:t>、</w:t>
      </w:r>
      <w:r>
        <w:t>2~5</w:t>
      </w:r>
      <w:r>
        <w:t>、</w:t>
      </w:r>
      <w:r>
        <w:t>5~10 m</w:t>
      </w:r>
      <w:r>
        <w:t>进行覆膜堆肥，混合物料</w:t>
      </w:r>
      <w:r>
        <w:t>C/N</w:t>
      </w:r>
      <w:r>
        <w:t>为</w:t>
      </w:r>
      <w:r>
        <w:t>12~16</w:t>
      </w:r>
      <w:r>
        <w:t>，初始含水率为</w:t>
      </w:r>
      <w:r>
        <w:t>62%~68%</w:t>
      </w:r>
      <w:r>
        <w:t>，设置成约长</w:t>
      </w:r>
      <w:r>
        <w:t>1.5m</w:t>
      </w:r>
      <w:r>
        <w:t>、宽</w:t>
      </w:r>
      <w:r>
        <w:t>1.0 m</w:t>
      </w:r>
      <w:r>
        <w:t>、高</w:t>
      </w:r>
      <w:r>
        <w:t>1 m</w:t>
      </w:r>
      <w:r>
        <w:t>的长方体堆体。试验过程同上。</w:t>
      </w:r>
    </w:p>
    <w:p w:rsidR="0027074B" w:rsidRDefault="004B23C3">
      <w:pPr>
        <w:ind w:firstLine="560"/>
        <w:jc w:val="center"/>
        <w:rPr>
          <w:rFonts w:eastAsia="宋体"/>
          <w:sz w:val="28"/>
          <w:szCs w:val="28"/>
        </w:rPr>
      </w:pPr>
      <w:r>
        <w:rPr>
          <w:rFonts w:eastAsia="宋体"/>
          <w:noProof/>
          <w:sz w:val="28"/>
          <w:szCs w:val="28"/>
        </w:rPr>
        <w:lastRenderedPageBreak/>
        <w:drawing>
          <wp:inline distT="0" distB="0" distL="0" distR="0">
            <wp:extent cx="2927350" cy="2047875"/>
            <wp:effectExtent l="0" t="0" r="6350" b="9525"/>
            <wp:docPr id="20431968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196815" name="图片 9"/>
                    <pic:cNvPicPr>
                      <a:picLocks noChangeAspect="1" noChangeArrowheads="1"/>
                    </pic:cNvPicPr>
                  </pic:nvPicPr>
                  <pic:blipFill>
                    <a:blip r:embed="rId17">
                      <a:extLst>
                        <a:ext uri="{28A0092B-C50C-407E-A947-70E740481C1C}">
                          <a14:useLocalDpi xmlns:a14="http://schemas.microsoft.com/office/drawing/2010/main" val="0"/>
                        </a:ext>
                      </a:extLst>
                    </a:blip>
                    <a:srcRect l="9491" t="6640" r="1480"/>
                    <a:stretch>
                      <a:fillRect/>
                    </a:stretch>
                  </pic:blipFill>
                  <pic:spPr>
                    <a:xfrm>
                      <a:off x="0" y="0"/>
                      <a:ext cx="2942617" cy="2058747"/>
                    </a:xfrm>
                    <a:prstGeom prst="rect">
                      <a:avLst/>
                    </a:prstGeom>
                    <a:noFill/>
                    <a:ln>
                      <a:noFill/>
                    </a:ln>
                  </pic:spPr>
                </pic:pic>
              </a:graphicData>
            </a:graphic>
          </wp:inline>
        </w:drawing>
      </w:r>
    </w:p>
    <w:p w:rsidR="0027074B" w:rsidRDefault="004B23C3">
      <w:pPr>
        <w:pStyle w:val="af6"/>
      </w:pPr>
      <w:r>
        <w:t>图</w:t>
      </w:r>
      <w:r>
        <w:t xml:space="preserve">11 </w:t>
      </w:r>
      <w:r>
        <w:t>覆膜堆肥实景图</w:t>
      </w:r>
    </w:p>
    <w:p w:rsidR="0027074B" w:rsidRDefault="004B23C3">
      <w:pPr>
        <w:pStyle w:val="13"/>
        <w:ind w:firstLine="560"/>
      </w:pPr>
      <w:r>
        <w:rPr>
          <w:rFonts w:hint="eastAsia"/>
        </w:rPr>
        <w:t>覆膜堆肥</w:t>
      </w:r>
      <w:r>
        <w:t>结果表明，不同粒径秸秆处理分别在第</w:t>
      </w:r>
      <w:r>
        <w:t>4</w:t>
      </w:r>
      <w:r>
        <w:t>、</w:t>
      </w:r>
      <w:r>
        <w:t>3</w:t>
      </w:r>
      <w:r>
        <w:t>、</w:t>
      </w:r>
      <w:r>
        <w:t>3d</w:t>
      </w:r>
      <w:r>
        <w:t>达到</w:t>
      </w:r>
      <w:r>
        <w:t>50.0 ℃</w:t>
      </w:r>
      <w:r>
        <w:t>以上，最高温度分别为</w:t>
      </w:r>
      <w:r>
        <w:t>58.2</w:t>
      </w:r>
      <w:r>
        <w:t>、</w:t>
      </w:r>
      <w:r>
        <w:t>63.6</w:t>
      </w:r>
      <w:r>
        <w:t>、</w:t>
      </w:r>
      <w:r>
        <w:t>62.2 ℃</w:t>
      </w:r>
      <w:r>
        <w:t>，其中，</w:t>
      </w:r>
      <w:r>
        <w:t>2~5</w:t>
      </w:r>
      <w:r>
        <w:t>、</w:t>
      </w:r>
      <w:r>
        <w:t>5~10 cm</w:t>
      </w:r>
      <w:r>
        <w:t>秸秆粒径的处理高温期均持续</w:t>
      </w:r>
      <w:r>
        <w:t>10d</w:t>
      </w:r>
      <w:r>
        <w:t>，可达到《畜禽粪污无害化处理技术规范》（</w:t>
      </w:r>
      <w:r>
        <w:t>GB/T 36195-2018</w:t>
      </w:r>
      <w:r>
        <w:t>）覆膜堆肥温度维持</w:t>
      </w:r>
      <w:r>
        <w:t>50.0 ℃</w:t>
      </w:r>
      <w:r>
        <w:t>以上不少于</w:t>
      </w:r>
      <w:r>
        <w:t>7 d</w:t>
      </w:r>
      <w:r>
        <w:t>的要求。不同处理各点位</w:t>
      </w:r>
      <w:r>
        <w:t>O</w:t>
      </w:r>
      <w:r>
        <w:rPr>
          <w:vertAlign w:val="subscript"/>
        </w:rPr>
        <w:t>2</w:t>
      </w:r>
      <w:r>
        <w:t>含量变化趋势与温度相反，</w:t>
      </w:r>
      <w:r>
        <w:t>2~5</w:t>
      </w:r>
      <w:r>
        <w:t>秸秆粒径处理可有效</w:t>
      </w:r>
      <w:proofErr w:type="gramStart"/>
      <w:r>
        <w:t>改善堆体结构</w:t>
      </w:r>
      <w:proofErr w:type="gramEnd"/>
      <w:r>
        <w:t>，有利于</w:t>
      </w:r>
      <w:r>
        <w:t>O</w:t>
      </w:r>
      <w:r>
        <w:rPr>
          <w:vertAlign w:val="subscript"/>
        </w:rPr>
        <w:t>2</w:t>
      </w:r>
      <w:r>
        <w:t>扩散，氧气浓度更高。覆膜堆肥结束时，各处理</w:t>
      </w:r>
      <w:r>
        <w:t>pH</w:t>
      </w:r>
      <w:r>
        <w:t>、</w:t>
      </w:r>
      <w:r>
        <w:t>EC</w:t>
      </w:r>
      <w:r>
        <w:t>值、</w:t>
      </w:r>
      <w:r>
        <w:t>GI</w:t>
      </w:r>
      <w:r>
        <w:t>值均达到《有机肥料》（</w:t>
      </w:r>
      <w:r>
        <w:t>NY/T525-2021</w:t>
      </w:r>
      <w:r>
        <w:t>）中腐熟要求，其中，</w:t>
      </w:r>
      <w:r>
        <w:t>2~5 cm</w:t>
      </w:r>
      <w:r>
        <w:t>粒径的秸秆</w:t>
      </w:r>
      <w:r>
        <w:t>GI</w:t>
      </w:r>
      <w:r>
        <w:t>值更高（</w:t>
      </w:r>
      <w:r>
        <w:t>111.2%</w:t>
      </w:r>
      <w:r>
        <w:t>），腐熟性能更高。</w:t>
      </w:r>
    </w:p>
    <w:p w:rsidR="0027074B" w:rsidRDefault="004B23C3">
      <w:pPr>
        <w:ind w:firstLine="560"/>
        <w:jc w:val="center"/>
        <w:rPr>
          <w:rFonts w:eastAsia="宋体"/>
          <w:sz w:val="28"/>
          <w:szCs w:val="28"/>
        </w:rPr>
      </w:pPr>
      <w:r>
        <w:rPr>
          <w:rFonts w:eastAsia="宋体"/>
          <w:noProof/>
          <w:sz w:val="28"/>
          <w:szCs w:val="28"/>
        </w:rPr>
        <w:lastRenderedPageBreak/>
        <w:drawing>
          <wp:inline distT="0" distB="0" distL="0" distR="0">
            <wp:extent cx="4201795" cy="4991100"/>
            <wp:effectExtent l="0" t="0" r="8255" b="0"/>
            <wp:docPr id="5092871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287190" name="图片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212161" cy="5003173"/>
                    </a:xfrm>
                    <a:prstGeom prst="rect">
                      <a:avLst/>
                    </a:prstGeom>
                    <a:noFill/>
                    <a:ln>
                      <a:noFill/>
                    </a:ln>
                  </pic:spPr>
                </pic:pic>
              </a:graphicData>
            </a:graphic>
          </wp:inline>
        </w:drawing>
      </w:r>
    </w:p>
    <w:p w:rsidR="0027074B" w:rsidRDefault="004B23C3">
      <w:pPr>
        <w:pStyle w:val="af6"/>
      </w:pPr>
      <w:r>
        <w:t>图</w:t>
      </w:r>
      <w:r>
        <w:t xml:space="preserve">12 </w:t>
      </w:r>
      <w:r>
        <w:t>不同辅料对覆膜堆肥过程的影响</w:t>
      </w:r>
    </w:p>
    <w:p w:rsidR="0027074B" w:rsidRDefault="004B23C3">
      <w:pPr>
        <w:ind w:firstLineChars="0" w:firstLine="0"/>
        <w:jc w:val="left"/>
        <w:rPr>
          <w:rFonts w:eastAsia="宋体"/>
          <w:szCs w:val="24"/>
        </w:rPr>
      </w:pPr>
      <w:r>
        <w:rPr>
          <w:rFonts w:eastAsia="宋体"/>
          <w:szCs w:val="24"/>
        </w:rPr>
        <w:t>其中：温度（</w:t>
      </w:r>
      <w:r>
        <w:rPr>
          <w:rFonts w:eastAsia="宋体"/>
          <w:szCs w:val="24"/>
        </w:rPr>
        <w:t>a</w:t>
      </w:r>
      <w:r>
        <w:rPr>
          <w:rFonts w:eastAsia="宋体"/>
          <w:szCs w:val="24"/>
        </w:rPr>
        <w:t>）、氧气浓度（</w:t>
      </w:r>
      <w:r>
        <w:rPr>
          <w:rFonts w:eastAsia="宋体"/>
          <w:szCs w:val="24"/>
        </w:rPr>
        <w:t>b</w:t>
      </w:r>
      <w:r>
        <w:rPr>
          <w:rFonts w:eastAsia="宋体"/>
          <w:szCs w:val="24"/>
        </w:rPr>
        <w:t>）、</w:t>
      </w:r>
      <w:r>
        <w:rPr>
          <w:rFonts w:eastAsia="宋体"/>
          <w:szCs w:val="24"/>
        </w:rPr>
        <w:t>pH</w:t>
      </w:r>
      <w:r>
        <w:rPr>
          <w:rFonts w:eastAsia="宋体"/>
          <w:szCs w:val="24"/>
        </w:rPr>
        <w:t>（</w:t>
      </w:r>
      <w:r>
        <w:rPr>
          <w:rFonts w:eastAsia="宋体"/>
          <w:szCs w:val="24"/>
        </w:rPr>
        <w:t>c</w:t>
      </w:r>
      <w:r>
        <w:rPr>
          <w:rFonts w:eastAsia="宋体"/>
          <w:szCs w:val="24"/>
        </w:rPr>
        <w:t>）、</w:t>
      </w:r>
      <w:r>
        <w:rPr>
          <w:rFonts w:eastAsia="宋体"/>
          <w:szCs w:val="24"/>
        </w:rPr>
        <w:t>NH</w:t>
      </w:r>
      <w:r>
        <w:rPr>
          <w:rFonts w:eastAsia="宋体"/>
          <w:szCs w:val="24"/>
          <w:vertAlign w:val="subscript"/>
        </w:rPr>
        <w:t>4</w:t>
      </w:r>
      <w:r>
        <w:rPr>
          <w:rFonts w:eastAsia="宋体"/>
          <w:szCs w:val="24"/>
          <w:vertAlign w:val="superscript"/>
        </w:rPr>
        <w:t>+</w:t>
      </w:r>
      <w:r>
        <w:rPr>
          <w:rFonts w:eastAsia="宋体"/>
          <w:szCs w:val="24"/>
        </w:rPr>
        <w:t>-N</w:t>
      </w:r>
      <w:r>
        <w:rPr>
          <w:rFonts w:eastAsia="宋体"/>
          <w:szCs w:val="24"/>
        </w:rPr>
        <w:t>（</w:t>
      </w:r>
      <w:r>
        <w:rPr>
          <w:rFonts w:eastAsia="宋体"/>
          <w:szCs w:val="24"/>
        </w:rPr>
        <w:t>d</w:t>
      </w:r>
      <w:r>
        <w:rPr>
          <w:rFonts w:eastAsia="宋体"/>
          <w:szCs w:val="24"/>
        </w:rPr>
        <w:t>）、</w:t>
      </w:r>
      <w:r>
        <w:rPr>
          <w:rFonts w:eastAsia="宋体"/>
          <w:szCs w:val="24"/>
        </w:rPr>
        <w:t>EC</w:t>
      </w:r>
      <w:r>
        <w:rPr>
          <w:rFonts w:eastAsia="宋体"/>
          <w:szCs w:val="24"/>
        </w:rPr>
        <w:t>（</w:t>
      </w:r>
      <w:r>
        <w:rPr>
          <w:rFonts w:eastAsia="宋体"/>
          <w:szCs w:val="24"/>
        </w:rPr>
        <w:t>e</w:t>
      </w:r>
      <w:r>
        <w:rPr>
          <w:rFonts w:eastAsia="宋体"/>
          <w:szCs w:val="24"/>
        </w:rPr>
        <w:t>）、</w:t>
      </w:r>
      <w:r>
        <w:rPr>
          <w:rFonts w:eastAsia="宋体"/>
          <w:szCs w:val="24"/>
        </w:rPr>
        <w:t>GI</w:t>
      </w:r>
      <w:r>
        <w:rPr>
          <w:rFonts w:eastAsia="宋体"/>
          <w:szCs w:val="24"/>
        </w:rPr>
        <w:t>（</w:t>
      </w:r>
      <w:r>
        <w:rPr>
          <w:rFonts w:eastAsia="宋体"/>
          <w:szCs w:val="24"/>
        </w:rPr>
        <w:t>f</w:t>
      </w:r>
      <w:r>
        <w:rPr>
          <w:rFonts w:eastAsia="宋体"/>
          <w:szCs w:val="24"/>
        </w:rPr>
        <w:t>）的影响</w:t>
      </w:r>
    </w:p>
    <w:p w:rsidR="0027074B" w:rsidRDefault="004B23C3">
      <w:pPr>
        <w:ind w:firstLine="560"/>
        <w:rPr>
          <w:rFonts w:eastAsia="宋体"/>
          <w:sz w:val="28"/>
          <w:szCs w:val="28"/>
        </w:rPr>
      </w:pPr>
      <w:r>
        <w:rPr>
          <w:rFonts w:eastAsia="宋体"/>
          <w:sz w:val="28"/>
          <w:szCs w:val="28"/>
        </w:rPr>
        <w:t>综上所述，相比于传统粪污覆膜堆肥方式（</w:t>
      </w:r>
      <w:proofErr w:type="gramStart"/>
      <w:r>
        <w:rPr>
          <w:rFonts w:eastAsia="宋体"/>
          <w:sz w:val="28"/>
          <w:szCs w:val="28"/>
        </w:rPr>
        <w:t>纯粪污</w:t>
      </w:r>
      <w:proofErr w:type="gramEnd"/>
      <w:r>
        <w:rPr>
          <w:rFonts w:eastAsia="宋体"/>
          <w:sz w:val="28"/>
          <w:szCs w:val="28"/>
        </w:rPr>
        <w:t>就地覆膜堆肥），通过将猪粪与覆膜堆肥粒径</w:t>
      </w:r>
      <w:r>
        <w:rPr>
          <w:rFonts w:eastAsia="宋体"/>
          <w:sz w:val="28"/>
          <w:szCs w:val="28"/>
        </w:rPr>
        <w:t>&lt;5 cm</w:t>
      </w:r>
      <w:r>
        <w:rPr>
          <w:rFonts w:eastAsia="宋体"/>
          <w:sz w:val="28"/>
          <w:szCs w:val="28"/>
        </w:rPr>
        <w:t>秸秆、甘蔗渣等辅料均匀混合，调节混合后的物料含水率为</w:t>
      </w:r>
      <w:r>
        <w:rPr>
          <w:rFonts w:eastAsia="宋体"/>
          <w:sz w:val="28"/>
          <w:szCs w:val="28"/>
        </w:rPr>
        <w:t>45%~70%</w:t>
      </w:r>
      <w:r>
        <w:rPr>
          <w:rFonts w:eastAsia="宋体"/>
          <w:sz w:val="28"/>
          <w:szCs w:val="28"/>
        </w:rPr>
        <w:t>，调整混合后</w:t>
      </w:r>
      <w:proofErr w:type="gramStart"/>
      <w:r>
        <w:rPr>
          <w:rFonts w:eastAsia="宋体"/>
          <w:sz w:val="28"/>
          <w:szCs w:val="28"/>
        </w:rPr>
        <w:t>的堆体体积</w:t>
      </w:r>
      <w:proofErr w:type="gramEnd"/>
      <w:r>
        <w:rPr>
          <w:rFonts w:eastAsia="宋体"/>
          <w:sz w:val="28"/>
          <w:szCs w:val="28"/>
        </w:rPr>
        <w:t>在</w:t>
      </w:r>
      <w:r>
        <w:rPr>
          <w:rFonts w:eastAsia="宋体"/>
          <w:sz w:val="28"/>
          <w:szCs w:val="28"/>
        </w:rPr>
        <w:t>0.5 m</w:t>
      </w:r>
      <w:r>
        <w:rPr>
          <w:rFonts w:eastAsia="宋体"/>
          <w:sz w:val="28"/>
          <w:szCs w:val="28"/>
          <w:vertAlign w:val="superscript"/>
        </w:rPr>
        <w:t>3</w:t>
      </w:r>
      <w:r>
        <w:rPr>
          <w:rFonts w:eastAsia="宋体"/>
          <w:sz w:val="28"/>
          <w:szCs w:val="28"/>
        </w:rPr>
        <w:t>以上，</w:t>
      </w:r>
      <w:proofErr w:type="gramStart"/>
      <w:r>
        <w:rPr>
          <w:rFonts w:eastAsia="宋体"/>
          <w:sz w:val="28"/>
          <w:szCs w:val="28"/>
        </w:rPr>
        <w:t>堆体宽度</w:t>
      </w:r>
      <w:proofErr w:type="gramEnd"/>
      <w:r>
        <w:rPr>
          <w:rFonts w:eastAsia="宋体"/>
          <w:sz w:val="28"/>
          <w:szCs w:val="28"/>
        </w:rPr>
        <w:t>为</w:t>
      </w:r>
      <w:r>
        <w:rPr>
          <w:rFonts w:eastAsia="宋体"/>
          <w:sz w:val="28"/>
          <w:szCs w:val="28"/>
        </w:rPr>
        <w:t>1.0 m~2.0 m</w:t>
      </w:r>
      <w:r>
        <w:rPr>
          <w:rFonts w:eastAsia="宋体"/>
          <w:sz w:val="28"/>
          <w:szCs w:val="28"/>
        </w:rPr>
        <w:t>、高度为</w:t>
      </w:r>
      <w:r>
        <w:rPr>
          <w:rFonts w:eastAsia="宋体"/>
          <w:sz w:val="28"/>
          <w:szCs w:val="28"/>
        </w:rPr>
        <w:t>0.8 m~1.5 m</w:t>
      </w:r>
      <w:r>
        <w:rPr>
          <w:rFonts w:eastAsia="宋体"/>
          <w:sz w:val="28"/>
          <w:szCs w:val="28"/>
        </w:rPr>
        <w:t>，在堆置</w:t>
      </w:r>
      <w:r>
        <w:rPr>
          <w:rFonts w:eastAsia="宋体"/>
          <w:sz w:val="28"/>
          <w:szCs w:val="28"/>
        </w:rPr>
        <w:t>40 d</w:t>
      </w:r>
      <w:r>
        <w:rPr>
          <w:rFonts w:eastAsia="宋体"/>
          <w:sz w:val="28"/>
          <w:szCs w:val="28"/>
        </w:rPr>
        <w:t>后，可有效</w:t>
      </w:r>
      <w:proofErr w:type="gramStart"/>
      <w:r>
        <w:rPr>
          <w:rFonts w:eastAsia="宋体"/>
          <w:sz w:val="28"/>
          <w:szCs w:val="28"/>
        </w:rPr>
        <w:t>改善堆体结构</w:t>
      </w:r>
      <w:proofErr w:type="gramEnd"/>
      <w:r>
        <w:rPr>
          <w:rFonts w:eastAsia="宋体"/>
          <w:sz w:val="28"/>
          <w:szCs w:val="28"/>
        </w:rPr>
        <w:t>，促进氧气扩散，进而促进</w:t>
      </w:r>
      <w:proofErr w:type="gramStart"/>
      <w:r>
        <w:rPr>
          <w:rFonts w:eastAsia="宋体"/>
          <w:sz w:val="28"/>
          <w:szCs w:val="28"/>
        </w:rPr>
        <w:t>堆体快速</w:t>
      </w:r>
      <w:proofErr w:type="gramEnd"/>
      <w:r>
        <w:rPr>
          <w:rFonts w:eastAsia="宋体"/>
          <w:sz w:val="28"/>
          <w:szCs w:val="28"/>
        </w:rPr>
        <w:t>升温、延长高温期持续时间，从而实现粪</w:t>
      </w:r>
      <w:proofErr w:type="gramStart"/>
      <w:r>
        <w:rPr>
          <w:rFonts w:eastAsia="宋体"/>
          <w:sz w:val="28"/>
          <w:szCs w:val="28"/>
        </w:rPr>
        <w:t>污快速</w:t>
      </w:r>
      <w:proofErr w:type="gramEnd"/>
      <w:r>
        <w:rPr>
          <w:rFonts w:eastAsia="宋体"/>
          <w:sz w:val="28"/>
          <w:szCs w:val="28"/>
        </w:rPr>
        <w:t>腐熟，</w:t>
      </w:r>
      <w:r>
        <w:rPr>
          <w:rFonts w:eastAsia="宋体"/>
          <w:sz w:val="28"/>
          <w:szCs w:val="28"/>
        </w:rPr>
        <w:t>GI</w:t>
      </w:r>
      <w:r>
        <w:rPr>
          <w:rFonts w:eastAsia="宋体"/>
          <w:sz w:val="28"/>
          <w:szCs w:val="28"/>
        </w:rPr>
        <w:t>、</w:t>
      </w:r>
      <w:r>
        <w:rPr>
          <w:rFonts w:eastAsia="宋体"/>
          <w:sz w:val="28"/>
          <w:szCs w:val="28"/>
        </w:rPr>
        <w:t>pH</w:t>
      </w:r>
      <w:r>
        <w:rPr>
          <w:rFonts w:eastAsia="宋体"/>
          <w:sz w:val="28"/>
          <w:szCs w:val="28"/>
        </w:rPr>
        <w:t>、</w:t>
      </w:r>
      <w:r>
        <w:rPr>
          <w:rFonts w:eastAsia="宋体"/>
          <w:sz w:val="28"/>
          <w:szCs w:val="28"/>
        </w:rPr>
        <w:t>EC</w:t>
      </w:r>
      <w:r>
        <w:rPr>
          <w:rFonts w:eastAsia="宋体"/>
          <w:sz w:val="28"/>
          <w:szCs w:val="28"/>
        </w:rPr>
        <w:t>等</w:t>
      </w:r>
      <w:r>
        <w:rPr>
          <w:rFonts w:eastAsia="宋体"/>
          <w:bCs/>
          <w:sz w:val="28"/>
          <w:szCs w:val="28"/>
        </w:rPr>
        <w:t>理化指标达到《有机肥料》（</w:t>
      </w:r>
      <w:r>
        <w:rPr>
          <w:rFonts w:eastAsia="宋体"/>
          <w:bCs/>
          <w:sz w:val="28"/>
          <w:szCs w:val="28"/>
        </w:rPr>
        <w:t>NY/T</w:t>
      </w:r>
      <w:r w:rsidR="00F30DBC">
        <w:rPr>
          <w:rFonts w:eastAsia="宋体"/>
          <w:bCs/>
          <w:sz w:val="28"/>
          <w:szCs w:val="28"/>
        </w:rPr>
        <w:t xml:space="preserve"> </w:t>
      </w:r>
      <w:r>
        <w:rPr>
          <w:rFonts w:eastAsia="宋体"/>
          <w:bCs/>
          <w:sz w:val="28"/>
          <w:szCs w:val="28"/>
        </w:rPr>
        <w:t>525-2021</w:t>
      </w:r>
      <w:r>
        <w:rPr>
          <w:rFonts w:eastAsia="宋体"/>
          <w:bCs/>
          <w:sz w:val="28"/>
          <w:szCs w:val="28"/>
        </w:rPr>
        <w:t>）标准</w:t>
      </w:r>
      <w:r>
        <w:rPr>
          <w:rFonts w:eastAsia="宋体"/>
          <w:sz w:val="28"/>
          <w:szCs w:val="28"/>
        </w:rPr>
        <w:t>。</w:t>
      </w:r>
    </w:p>
    <w:p w:rsidR="0027074B" w:rsidRDefault="004B23C3">
      <w:pPr>
        <w:pStyle w:val="13"/>
        <w:ind w:firstLine="562"/>
        <w:rPr>
          <w:b/>
          <w:bCs/>
        </w:rPr>
      </w:pPr>
      <w:r>
        <w:rPr>
          <w:b/>
          <w:bCs/>
        </w:rPr>
        <w:t xml:space="preserve">2. </w:t>
      </w:r>
      <w:r>
        <w:rPr>
          <w:b/>
          <w:bCs/>
        </w:rPr>
        <w:t>工程规模</w:t>
      </w:r>
      <w:r w:rsidR="00F30DBC">
        <w:rPr>
          <w:rFonts w:hint="eastAsia"/>
          <w:b/>
          <w:bCs/>
        </w:rPr>
        <w:t>试验</w:t>
      </w:r>
      <w:r>
        <w:rPr>
          <w:b/>
          <w:bCs/>
        </w:rPr>
        <w:t>验证</w:t>
      </w:r>
    </w:p>
    <w:p w:rsidR="0027074B" w:rsidRDefault="004B23C3">
      <w:pPr>
        <w:pStyle w:val="13"/>
        <w:ind w:firstLine="562"/>
        <w:rPr>
          <w:b/>
          <w:bCs/>
          <w:color w:val="auto"/>
          <w:szCs w:val="28"/>
        </w:rPr>
      </w:pPr>
      <w:r>
        <w:rPr>
          <w:b/>
          <w:bCs/>
          <w:color w:val="auto"/>
          <w:szCs w:val="28"/>
        </w:rPr>
        <w:lastRenderedPageBreak/>
        <w:t>（</w:t>
      </w:r>
      <w:r>
        <w:rPr>
          <w:b/>
          <w:bCs/>
          <w:color w:val="auto"/>
          <w:szCs w:val="28"/>
        </w:rPr>
        <w:t>1</w:t>
      </w:r>
      <w:r>
        <w:rPr>
          <w:b/>
          <w:bCs/>
          <w:color w:val="auto"/>
          <w:szCs w:val="28"/>
        </w:rPr>
        <w:t>）辅料种类试验验证分析</w:t>
      </w:r>
    </w:p>
    <w:p w:rsidR="0027074B" w:rsidRDefault="004B23C3">
      <w:pPr>
        <w:pStyle w:val="13"/>
        <w:ind w:firstLine="560"/>
        <w:rPr>
          <w:color w:val="auto"/>
          <w:szCs w:val="28"/>
        </w:rPr>
      </w:pPr>
      <w:r>
        <w:rPr>
          <w:rFonts w:hint="eastAsia"/>
          <w:color w:val="auto"/>
          <w:szCs w:val="28"/>
        </w:rPr>
        <w:t>试验</w:t>
      </w:r>
      <w:r>
        <w:rPr>
          <w:color w:val="auto"/>
          <w:szCs w:val="28"/>
        </w:rPr>
        <w:t>以奶牛粪便为主料，分别添加</w:t>
      </w:r>
      <w:r>
        <w:rPr>
          <w:color w:val="auto"/>
          <w:szCs w:val="28"/>
        </w:rPr>
        <w:t>7.5%</w:t>
      </w:r>
      <w:r>
        <w:rPr>
          <w:color w:val="auto"/>
          <w:szCs w:val="28"/>
        </w:rPr>
        <w:t>、</w:t>
      </w:r>
      <w:r>
        <w:rPr>
          <w:color w:val="auto"/>
          <w:szCs w:val="28"/>
        </w:rPr>
        <w:t>15%</w:t>
      </w:r>
      <w:r>
        <w:rPr>
          <w:color w:val="auto"/>
          <w:szCs w:val="28"/>
        </w:rPr>
        <w:t>、</w:t>
      </w:r>
      <w:r>
        <w:rPr>
          <w:color w:val="auto"/>
          <w:szCs w:val="28"/>
        </w:rPr>
        <w:t>22.5%</w:t>
      </w:r>
      <w:r>
        <w:rPr>
          <w:color w:val="auto"/>
          <w:szCs w:val="28"/>
        </w:rPr>
        <w:t>、</w:t>
      </w:r>
      <w:r>
        <w:rPr>
          <w:color w:val="auto"/>
          <w:szCs w:val="28"/>
        </w:rPr>
        <w:t>30%</w:t>
      </w:r>
      <w:r>
        <w:rPr>
          <w:color w:val="auto"/>
          <w:szCs w:val="28"/>
        </w:rPr>
        <w:t>（基于湿重）芦苇秸秆作为辅料进行</w:t>
      </w:r>
      <w:r>
        <w:t>覆膜堆肥</w:t>
      </w:r>
      <w:r>
        <w:rPr>
          <w:color w:val="auto"/>
          <w:szCs w:val="28"/>
        </w:rPr>
        <w:t>，混合物料</w:t>
      </w:r>
      <w:r>
        <w:rPr>
          <w:color w:val="auto"/>
          <w:szCs w:val="28"/>
        </w:rPr>
        <w:t>C/N</w:t>
      </w:r>
      <w:r>
        <w:rPr>
          <w:color w:val="auto"/>
          <w:szCs w:val="28"/>
        </w:rPr>
        <w:t>为</w:t>
      </w:r>
      <w:r>
        <w:rPr>
          <w:color w:val="auto"/>
          <w:szCs w:val="28"/>
        </w:rPr>
        <w:t>19 ~ 29</w:t>
      </w:r>
      <w:r>
        <w:rPr>
          <w:color w:val="auto"/>
          <w:szCs w:val="28"/>
        </w:rPr>
        <w:t>，物料总重为</w:t>
      </w:r>
      <w:r>
        <w:rPr>
          <w:color w:val="auto"/>
          <w:szCs w:val="28"/>
        </w:rPr>
        <w:t>4.3 ~ 8.8 t</w:t>
      </w:r>
      <w:r>
        <w:rPr>
          <w:color w:val="auto"/>
          <w:szCs w:val="28"/>
        </w:rPr>
        <w:t>，设置成约长</w:t>
      </w:r>
      <w:r>
        <w:rPr>
          <w:color w:val="auto"/>
          <w:szCs w:val="28"/>
        </w:rPr>
        <w:t>9 m</w:t>
      </w:r>
      <w:r>
        <w:rPr>
          <w:color w:val="auto"/>
          <w:szCs w:val="28"/>
        </w:rPr>
        <w:t>、宽</w:t>
      </w:r>
      <w:r>
        <w:rPr>
          <w:color w:val="auto"/>
          <w:szCs w:val="28"/>
        </w:rPr>
        <w:t>3 m</w:t>
      </w:r>
      <w:r>
        <w:rPr>
          <w:color w:val="auto"/>
          <w:szCs w:val="28"/>
        </w:rPr>
        <w:t>、高</w:t>
      </w:r>
      <w:r>
        <w:rPr>
          <w:color w:val="auto"/>
          <w:szCs w:val="28"/>
        </w:rPr>
        <w:t>1.5 m</w:t>
      </w:r>
      <w:r>
        <w:rPr>
          <w:color w:val="auto"/>
          <w:szCs w:val="28"/>
        </w:rPr>
        <w:t>的</w:t>
      </w:r>
      <w:proofErr w:type="gramStart"/>
      <w:r>
        <w:rPr>
          <w:color w:val="auto"/>
          <w:szCs w:val="28"/>
        </w:rPr>
        <w:t>条垛式堆体</w:t>
      </w:r>
      <w:proofErr w:type="gramEnd"/>
      <w:r>
        <w:rPr>
          <w:color w:val="auto"/>
          <w:szCs w:val="28"/>
        </w:rPr>
        <w:t>，试验于</w:t>
      </w:r>
      <w:r>
        <w:rPr>
          <w:color w:val="auto"/>
          <w:szCs w:val="28"/>
        </w:rPr>
        <w:t>2025</w:t>
      </w:r>
      <w:r>
        <w:rPr>
          <w:color w:val="auto"/>
          <w:szCs w:val="28"/>
        </w:rPr>
        <w:t>年</w:t>
      </w:r>
      <w:r w:rsidR="00F30DBC">
        <w:rPr>
          <w:color w:val="auto"/>
          <w:szCs w:val="28"/>
        </w:rPr>
        <w:t>11</w:t>
      </w:r>
      <w:r>
        <w:rPr>
          <w:color w:val="auto"/>
          <w:szCs w:val="28"/>
        </w:rPr>
        <w:t>月</w:t>
      </w:r>
      <w:r>
        <w:rPr>
          <w:color w:val="auto"/>
          <w:szCs w:val="28"/>
        </w:rPr>
        <w:t>14</w:t>
      </w:r>
      <w:r>
        <w:rPr>
          <w:color w:val="auto"/>
          <w:szCs w:val="28"/>
        </w:rPr>
        <w:t>日开始，至</w:t>
      </w:r>
      <w:r w:rsidR="00F30DBC">
        <w:rPr>
          <w:rFonts w:hint="eastAsia"/>
          <w:color w:val="auto"/>
          <w:szCs w:val="28"/>
        </w:rPr>
        <w:t>2</w:t>
      </w:r>
      <w:r w:rsidR="00F30DBC">
        <w:rPr>
          <w:color w:val="auto"/>
          <w:szCs w:val="28"/>
        </w:rPr>
        <w:t>026</w:t>
      </w:r>
      <w:r w:rsidR="00F30DBC">
        <w:rPr>
          <w:rFonts w:hint="eastAsia"/>
          <w:color w:val="auto"/>
          <w:szCs w:val="28"/>
        </w:rPr>
        <w:t>年</w:t>
      </w:r>
      <w:r w:rsidR="00F30DBC">
        <w:rPr>
          <w:rFonts w:hint="eastAsia"/>
          <w:color w:val="auto"/>
          <w:szCs w:val="28"/>
        </w:rPr>
        <w:t>1</w:t>
      </w:r>
      <w:r>
        <w:rPr>
          <w:color w:val="auto"/>
          <w:szCs w:val="28"/>
        </w:rPr>
        <w:t>月</w:t>
      </w:r>
      <w:r>
        <w:rPr>
          <w:color w:val="auto"/>
          <w:szCs w:val="28"/>
        </w:rPr>
        <w:t>13</w:t>
      </w:r>
      <w:r>
        <w:rPr>
          <w:color w:val="auto"/>
          <w:szCs w:val="28"/>
        </w:rPr>
        <w:t>日结束，历时</w:t>
      </w:r>
      <w:r>
        <w:rPr>
          <w:color w:val="auto"/>
          <w:szCs w:val="28"/>
        </w:rPr>
        <w:t>60 d</w:t>
      </w:r>
      <w:r>
        <w:rPr>
          <w:color w:val="auto"/>
          <w:szCs w:val="28"/>
        </w:rPr>
        <w:t>，于第</w:t>
      </w:r>
      <w:r>
        <w:rPr>
          <w:color w:val="auto"/>
          <w:szCs w:val="28"/>
        </w:rPr>
        <w:t>25d</w:t>
      </w:r>
      <w:r>
        <w:rPr>
          <w:color w:val="auto"/>
          <w:szCs w:val="28"/>
        </w:rPr>
        <w:t>翻堆。</w:t>
      </w:r>
    </w:p>
    <w:p w:rsidR="0027074B" w:rsidRDefault="004B23C3">
      <w:pPr>
        <w:pStyle w:val="13"/>
        <w:ind w:firstLineChars="0" w:firstLine="0"/>
        <w:rPr>
          <w:color w:val="auto"/>
          <w:szCs w:val="28"/>
        </w:rPr>
      </w:pPr>
      <w:r>
        <w:rPr>
          <w:noProof/>
          <w:szCs w:val="28"/>
        </w:rPr>
        <w:drawing>
          <wp:inline distT="0" distB="0" distL="0" distR="0">
            <wp:extent cx="5112385" cy="1419860"/>
            <wp:effectExtent l="0" t="0" r="8255" b="1270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20"/>
                    <a:stretch>
                      <a:fillRect/>
                    </a:stretch>
                  </pic:blipFill>
                  <pic:spPr>
                    <a:xfrm>
                      <a:off x="0" y="0"/>
                      <a:ext cx="5126974" cy="1424256"/>
                    </a:xfrm>
                    <a:prstGeom prst="rect">
                      <a:avLst/>
                    </a:prstGeom>
                  </pic:spPr>
                </pic:pic>
              </a:graphicData>
            </a:graphic>
          </wp:inline>
        </w:drawing>
      </w:r>
    </w:p>
    <w:p w:rsidR="0027074B" w:rsidRDefault="004B23C3">
      <w:pPr>
        <w:pStyle w:val="af6"/>
      </w:pPr>
      <w:r>
        <w:t>图</w:t>
      </w:r>
      <w:r>
        <w:t xml:space="preserve">13 </w:t>
      </w:r>
      <w:r>
        <w:t>覆膜堆肥实景图（</w:t>
      </w:r>
      <w:r>
        <w:t>a</w:t>
      </w:r>
      <w:r>
        <w:t>）及取样点位俯视图（</w:t>
      </w:r>
      <w:r>
        <w:t>b</w:t>
      </w:r>
      <w:r>
        <w:t>）、侧面图（</w:t>
      </w:r>
      <w:r>
        <w:t>c</w:t>
      </w:r>
      <w:r>
        <w:t>）</w:t>
      </w:r>
    </w:p>
    <w:p w:rsidR="0027074B" w:rsidRDefault="004B23C3">
      <w:pPr>
        <w:pStyle w:val="13"/>
        <w:ind w:firstLine="560"/>
        <w:rPr>
          <w:color w:val="auto"/>
          <w:szCs w:val="28"/>
        </w:rPr>
      </w:pPr>
      <w:r>
        <w:rPr>
          <w:color w:val="auto"/>
          <w:szCs w:val="28"/>
        </w:rPr>
        <w:t>结果表明，秸秆和锯末处理分别在第</w:t>
      </w:r>
      <w:r>
        <w:rPr>
          <w:color w:val="auto"/>
          <w:szCs w:val="28"/>
        </w:rPr>
        <w:t>3 d</w:t>
      </w:r>
      <w:r>
        <w:rPr>
          <w:color w:val="auto"/>
          <w:szCs w:val="28"/>
        </w:rPr>
        <w:t>、</w:t>
      </w:r>
      <w:r>
        <w:rPr>
          <w:color w:val="auto"/>
          <w:szCs w:val="28"/>
        </w:rPr>
        <w:t>12 d</w:t>
      </w:r>
      <w:r>
        <w:rPr>
          <w:color w:val="auto"/>
          <w:szCs w:val="28"/>
        </w:rPr>
        <w:t>达到</w:t>
      </w:r>
      <w:r>
        <w:rPr>
          <w:color w:val="auto"/>
          <w:szCs w:val="28"/>
        </w:rPr>
        <w:t>50 ℃</w:t>
      </w:r>
      <w:r>
        <w:rPr>
          <w:color w:val="auto"/>
          <w:szCs w:val="28"/>
        </w:rPr>
        <w:t>以上，且维持高温</w:t>
      </w:r>
      <w:r>
        <w:rPr>
          <w:color w:val="auto"/>
          <w:szCs w:val="28"/>
        </w:rPr>
        <w:t>10 d</w:t>
      </w:r>
      <w:r>
        <w:rPr>
          <w:color w:val="auto"/>
          <w:szCs w:val="28"/>
        </w:rPr>
        <w:t>以上。而熟料处理在整个</w:t>
      </w:r>
      <w:r>
        <w:rPr>
          <w:rFonts w:hint="eastAsia"/>
          <w:color w:val="auto"/>
          <w:szCs w:val="28"/>
        </w:rPr>
        <w:t>堆肥</w:t>
      </w:r>
      <w:r>
        <w:rPr>
          <w:color w:val="auto"/>
          <w:szCs w:val="28"/>
        </w:rPr>
        <w:t>期间的温度均＜</w:t>
      </w:r>
      <w:r>
        <w:rPr>
          <w:color w:val="auto"/>
          <w:szCs w:val="28"/>
        </w:rPr>
        <w:t xml:space="preserve"> 50 ℃</w:t>
      </w:r>
      <w:r>
        <w:rPr>
          <w:color w:val="auto"/>
          <w:szCs w:val="28"/>
        </w:rPr>
        <w:t>。各处理的种子发芽指数在堆置</w:t>
      </w:r>
      <w:r>
        <w:rPr>
          <w:color w:val="auto"/>
          <w:szCs w:val="28"/>
        </w:rPr>
        <w:t>10 d</w:t>
      </w:r>
      <w:r>
        <w:rPr>
          <w:color w:val="auto"/>
          <w:szCs w:val="28"/>
        </w:rPr>
        <w:t>后升至</w:t>
      </w:r>
      <w:r>
        <w:rPr>
          <w:color w:val="auto"/>
          <w:szCs w:val="28"/>
        </w:rPr>
        <w:t>128%</w:t>
      </w:r>
      <w:r>
        <w:rPr>
          <w:color w:val="auto"/>
          <w:szCs w:val="28"/>
        </w:rPr>
        <w:t>以上，但在第</w:t>
      </w:r>
      <w:r>
        <w:rPr>
          <w:color w:val="auto"/>
          <w:szCs w:val="28"/>
        </w:rPr>
        <w:t>20d</w:t>
      </w:r>
      <w:r>
        <w:rPr>
          <w:color w:val="auto"/>
          <w:szCs w:val="28"/>
        </w:rPr>
        <w:t>显著下降，随后逐渐上升。</w:t>
      </w:r>
      <w:r>
        <w:t>覆膜堆肥</w:t>
      </w:r>
      <w:r>
        <w:rPr>
          <w:color w:val="auto"/>
          <w:szCs w:val="28"/>
        </w:rPr>
        <w:t>结束时，秸秆、锯末、熟料处理的</w:t>
      </w:r>
      <w:r>
        <w:rPr>
          <w:color w:val="auto"/>
          <w:szCs w:val="28"/>
        </w:rPr>
        <w:t>GI</w:t>
      </w:r>
      <w:r>
        <w:rPr>
          <w:color w:val="auto"/>
          <w:szCs w:val="28"/>
        </w:rPr>
        <w:t>分别为</w:t>
      </w:r>
      <w:r>
        <w:rPr>
          <w:color w:val="auto"/>
          <w:szCs w:val="28"/>
        </w:rPr>
        <w:t>117%</w:t>
      </w:r>
      <w:r>
        <w:rPr>
          <w:color w:val="auto"/>
          <w:szCs w:val="28"/>
        </w:rPr>
        <w:t>、</w:t>
      </w:r>
      <w:r>
        <w:rPr>
          <w:color w:val="auto"/>
          <w:szCs w:val="28"/>
        </w:rPr>
        <w:t>122%</w:t>
      </w:r>
      <w:r>
        <w:rPr>
          <w:color w:val="auto"/>
          <w:szCs w:val="28"/>
        </w:rPr>
        <w:t>、</w:t>
      </w:r>
      <w:r>
        <w:rPr>
          <w:color w:val="auto"/>
          <w:szCs w:val="28"/>
        </w:rPr>
        <w:t>97%</w:t>
      </w:r>
      <w:r>
        <w:rPr>
          <w:color w:val="auto"/>
          <w:szCs w:val="28"/>
        </w:rPr>
        <w:t>。堆置</w:t>
      </w:r>
      <w:r>
        <w:rPr>
          <w:color w:val="auto"/>
          <w:szCs w:val="28"/>
        </w:rPr>
        <w:t>10 d</w:t>
      </w:r>
      <w:r>
        <w:rPr>
          <w:color w:val="auto"/>
          <w:szCs w:val="28"/>
        </w:rPr>
        <w:t>后，各处理物料体积减量率和减重率分别为</w:t>
      </w:r>
      <w:r>
        <w:rPr>
          <w:color w:val="auto"/>
          <w:szCs w:val="28"/>
        </w:rPr>
        <w:t>13% ~ 33%</w:t>
      </w:r>
      <w:r>
        <w:rPr>
          <w:color w:val="auto"/>
          <w:szCs w:val="28"/>
        </w:rPr>
        <w:t>和</w:t>
      </w:r>
      <w:r>
        <w:rPr>
          <w:color w:val="auto"/>
          <w:szCs w:val="28"/>
        </w:rPr>
        <w:t>19% ~ 40%</w:t>
      </w:r>
      <w:r>
        <w:rPr>
          <w:color w:val="auto"/>
          <w:szCs w:val="28"/>
        </w:rPr>
        <w:t>，并且主要以水分蒸发散失为主，水分损失量占</w:t>
      </w:r>
      <w:proofErr w:type="gramStart"/>
      <w:r>
        <w:rPr>
          <w:color w:val="auto"/>
          <w:szCs w:val="28"/>
        </w:rPr>
        <w:t>物料总</w:t>
      </w:r>
      <w:proofErr w:type="gramEnd"/>
      <w:r>
        <w:rPr>
          <w:color w:val="auto"/>
          <w:szCs w:val="28"/>
        </w:rPr>
        <w:t>损失量（湿基）的</w:t>
      </w:r>
      <w:r>
        <w:rPr>
          <w:color w:val="auto"/>
          <w:szCs w:val="28"/>
        </w:rPr>
        <w:t>73% ~ 89%</w:t>
      </w:r>
      <w:r>
        <w:rPr>
          <w:color w:val="auto"/>
          <w:szCs w:val="28"/>
        </w:rPr>
        <w:t>。</w:t>
      </w:r>
      <w:r>
        <w:t>覆膜堆肥</w:t>
      </w:r>
      <w:r>
        <w:rPr>
          <w:color w:val="auto"/>
          <w:szCs w:val="28"/>
        </w:rPr>
        <w:t>结束时，各处理的蛔虫</w:t>
      </w:r>
      <w:proofErr w:type="gramStart"/>
      <w:r>
        <w:rPr>
          <w:color w:val="auto"/>
          <w:szCs w:val="28"/>
        </w:rPr>
        <w:t>卵</w:t>
      </w:r>
      <w:proofErr w:type="gramEnd"/>
      <w:r>
        <w:rPr>
          <w:color w:val="auto"/>
          <w:szCs w:val="28"/>
        </w:rPr>
        <w:t>死亡率均为</w:t>
      </w:r>
      <w:r>
        <w:rPr>
          <w:color w:val="auto"/>
          <w:szCs w:val="28"/>
        </w:rPr>
        <w:t>100%</w:t>
      </w:r>
      <w:r>
        <w:rPr>
          <w:color w:val="auto"/>
          <w:szCs w:val="28"/>
        </w:rPr>
        <w:t>，高于《有机肥料》（</w:t>
      </w:r>
      <w:r>
        <w:rPr>
          <w:color w:val="auto"/>
          <w:szCs w:val="28"/>
        </w:rPr>
        <w:t>NY/T 525-2021</w:t>
      </w:r>
      <w:r>
        <w:rPr>
          <w:color w:val="auto"/>
          <w:szCs w:val="28"/>
        </w:rPr>
        <w:t>）的标准值（＞</w:t>
      </w:r>
      <w:r>
        <w:rPr>
          <w:color w:val="auto"/>
          <w:szCs w:val="28"/>
        </w:rPr>
        <w:t xml:space="preserve"> 95%</w:t>
      </w:r>
      <w:r>
        <w:rPr>
          <w:color w:val="auto"/>
          <w:szCs w:val="28"/>
        </w:rPr>
        <w:t>）。此外，秸秆和熟料处理的大肠菌群</w:t>
      </w:r>
      <w:proofErr w:type="gramStart"/>
      <w:r>
        <w:rPr>
          <w:color w:val="auto"/>
          <w:szCs w:val="28"/>
        </w:rPr>
        <w:t>数满足</w:t>
      </w:r>
      <w:proofErr w:type="gramEnd"/>
      <w:r>
        <w:rPr>
          <w:color w:val="auto"/>
          <w:szCs w:val="28"/>
        </w:rPr>
        <w:t>标准值，锯末处理不满足。</w:t>
      </w:r>
    </w:p>
    <w:p w:rsidR="0027074B" w:rsidRDefault="0027074B">
      <w:pPr>
        <w:pStyle w:val="af6"/>
        <w:ind w:firstLine="480"/>
      </w:pPr>
    </w:p>
    <w:p w:rsidR="00F30DBC" w:rsidRDefault="00F30DBC">
      <w:pPr>
        <w:pStyle w:val="af6"/>
        <w:ind w:firstLine="480"/>
        <w:rPr>
          <w:rFonts w:hint="eastAsia"/>
        </w:rPr>
      </w:pPr>
    </w:p>
    <w:p w:rsidR="0027074B" w:rsidRDefault="004B23C3">
      <w:pPr>
        <w:pStyle w:val="af6"/>
        <w:ind w:firstLine="480"/>
      </w:pPr>
      <w:r>
        <w:lastRenderedPageBreak/>
        <w:t>表</w:t>
      </w:r>
      <w:r>
        <w:t xml:space="preserve">6 </w:t>
      </w:r>
      <w:r>
        <w:t>覆膜堆肥结束时无害化指标</w:t>
      </w:r>
    </w:p>
    <w:tbl>
      <w:tblPr>
        <w:tblStyle w:val="14"/>
        <w:tblpPr w:leftFromText="180" w:rightFromText="180" w:vertAnchor="text" w:tblpXSpec="center" w:tblpY="1"/>
        <w:tblOverlap w:val="neve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689"/>
        <w:gridCol w:w="992"/>
        <w:gridCol w:w="991"/>
        <w:gridCol w:w="1137"/>
        <w:gridCol w:w="1133"/>
        <w:gridCol w:w="1354"/>
      </w:tblGrid>
      <w:tr w:rsidR="0027074B" w:rsidRPr="00F30DBC" w:rsidTr="00F30DBC">
        <w:trPr>
          <w:trHeight w:val="616"/>
        </w:trPr>
        <w:tc>
          <w:tcPr>
            <w:tcW w:w="1621"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b/>
                <w:sz w:val="21"/>
                <w:szCs w:val="21"/>
              </w:rPr>
            </w:pPr>
            <w:r w:rsidRPr="00F30DBC">
              <w:rPr>
                <w:rFonts w:eastAsia="宋体"/>
                <w:b/>
                <w:sz w:val="21"/>
                <w:szCs w:val="21"/>
              </w:rPr>
              <w:t>项目</w:t>
            </w:r>
          </w:p>
        </w:tc>
        <w:tc>
          <w:tcPr>
            <w:tcW w:w="598"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b/>
                <w:sz w:val="21"/>
                <w:szCs w:val="21"/>
              </w:rPr>
            </w:pPr>
            <w:r w:rsidRPr="00F30DBC">
              <w:rPr>
                <w:rFonts w:eastAsia="宋体"/>
                <w:b/>
                <w:sz w:val="21"/>
                <w:szCs w:val="21"/>
              </w:rPr>
              <w:t>秸秆</w:t>
            </w:r>
          </w:p>
        </w:tc>
        <w:tc>
          <w:tcPr>
            <w:tcW w:w="597"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b/>
                <w:sz w:val="21"/>
                <w:szCs w:val="21"/>
              </w:rPr>
            </w:pPr>
            <w:r w:rsidRPr="00F30DBC">
              <w:rPr>
                <w:rFonts w:eastAsia="宋体"/>
                <w:b/>
                <w:sz w:val="21"/>
                <w:szCs w:val="21"/>
              </w:rPr>
              <w:t>锯末</w:t>
            </w:r>
          </w:p>
        </w:tc>
        <w:tc>
          <w:tcPr>
            <w:tcW w:w="685"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b/>
                <w:sz w:val="21"/>
                <w:szCs w:val="21"/>
              </w:rPr>
            </w:pPr>
            <w:r w:rsidRPr="00F30DBC">
              <w:rPr>
                <w:rFonts w:eastAsia="宋体"/>
                <w:b/>
                <w:sz w:val="21"/>
                <w:szCs w:val="21"/>
              </w:rPr>
              <w:t>熟料</w:t>
            </w:r>
          </w:p>
        </w:tc>
        <w:tc>
          <w:tcPr>
            <w:tcW w:w="683"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b/>
                <w:sz w:val="21"/>
                <w:szCs w:val="21"/>
              </w:rPr>
            </w:pPr>
            <w:r w:rsidRPr="00F30DBC">
              <w:rPr>
                <w:rFonts w:eastAsia="宋体"/>
                <w:b/>
                <w:sz w:val="21"/>
                <w:szCs w:val="21"/>
              </w:rPr>
              <w:t>标准值</w:t>
            </w:r>
          </w:p>
        </w:tc>
        <w:tc>
          <w:tcPr>
            <w:tcW w:w="816"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b/>
                <w:sz w:val="21"/>
                <w:szCs w:val="21"/>
              </w:rPr>
            </w:pPr>
            <w:r w:rsidRPr="00F30DBC">
              <w:rPr>
                <w:rFonts w:eastAsia="宋体"/>
                <w:b/>
                <w:sz w:val="21"/>
                <w:szCs w:val="21"/>
              </w:rPr>
              <w:t>参考文献</w:t>
            </w:r>
          </w:p>
        </w:tc>
      </w:tr>
      <w:tr w:rsidR="0027074B" w:rsidRPr="00F30DBC" w:rsidTr="00F30DBC">
        <w:trPr>
          <w:trHeight w:val="616"/>
        </w:trPr>
        <w:tc>
          <w:tcPr>
            <w:tcW w:w="1621"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蛔虫</w:t>
            </w:r>
            <w:proofErr w:type="gramStart"/>
            <w:r w:rsidRPr="00F30DBC">
              <w:rPr>
                <w:rFonts w:eastAsia="宋体"/>
                <w:sz w:val="21"/>
                <w:szCs w:val="21"/>
              </w:rPr>
              <w:t>卵</w:t>
            </w:r>
            <w:proofErr w:type="gramEnd"/>
            <w:r w:rsidRPr="00F30DBC">
              <w:rPr>
                <w:rFonts w:eastAsia="宋体"/>
                <w:sz w:val="21"/>
                <w:szCs w:val="21"/>
              </w:rPr>
              <w:t>死亡率（</w:t>
            </w:r>
            <w:r w:rsidRPr="00F30DBC">
              <w:rPr>
                <w:rFonts w:eastAsia="宋体"/>
                <w:sz w:val="21"/>
                <w:szCs w:val="21"/>
              </w:rPr>
              <w:t>%</w:t>
            </w:r>
            <w:r w:rsidRPr="00F30DBC">
              <w:rPr>
                <w:rFonts w:eastAsia="宋体"/>
                <w:sz w:val="21"/>
                <w:szCs w:val="21"/>
              </w:rPr>
              <w:t>）</w:t>
            </w:r>
          </w:p>
        </w:tc>
        <w:tc>
          <w:tcPr>
            <w:tcW w:w="598"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100</w:t>
            </w:r>
          </w:p>
        </w:tc>
        <w:tc>
          <w:tcPr>
            <w:tcW w:w="597"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100</w:t>
            </w:r>
          </w:p>
        </w:tc>
        <w:tc>
          <w:tcPr>
            <w:tcW w:w="685"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100</w:t>
            </w:r>
          </w:p>
        </w:tc>
        <w:tc>
          <w:tcPr>
            <w:tcW w:w="683"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 95</w:t>
            </w:r>
          </w:p>
        </w:tc>
        <w:tc>
          <w:tcPr>
            <w:tcW w:w="816" w:type="pct"/>
            <w:vMerge w:val="restart"/>
            <w:tcBorders>
              <w:top w:val="single" w:sz="4" w:space="0" w:color="auto"/>
              <w:left w:val="single" w:sz="4" w:space="0" w:color="auto"/>
              <w:bottom w:val="single" w:sz="4" w:space="0" w:color="auto"/>
              <w:right w:val="single" w:sz="4" w:space="0" w:color="auto"/>
            </w:tcBorders>
            <w:vAlign w:val="center"/>
          </w:tcPr>
          <w:p w:rsidR="0027074B" w:rsidRPr="00F30DBC" w:rsidRDefault="004B23C3">
            <w:pPr>
              <w:ind w:firstLineChars="0" w:firstLine="0"/>
              <w:jc w:val="center"/>
              <w:rPr>
                <w:rFonts w:eastAsia="宋体"/>
                <w:sz w:val="21"/>
                <w:szCs w:val="21"/>
              </w:rPr>
            </w:pPr>
            <w:r w:rsidRPr="00F30DBC">
              <w:rPr>
                <w:rFonts w:eastAsia="宋体"/>
                <w:sz w:val="21"/>
                <w:szCs w:val="21"/>
              </w:rPr>
              <w:t>NY/T 525-2021</w:t>
            </w:r>
          </w:p>
        </w:tc>
      </w:tr>
      <w:tr w:rsidR="0027074B" w:rsidRPr="00F30DBC" w:rsidTr="00F30DBC">
        <w:trPr>
          <w:trHeight w:val="616"/>
        </w:trPr>
        <w:tc>
          <w:tcPr>
            <w:tcW w:w="1621"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粪大肠菌群数（</w:t>
            </w:r>
            <w:proofErr w:type="gramStart"/>
            <w:r w:rsidRPr="00F30DBC">
              <w:rPr>
                <w:rFonts w:eastAsia="宋体"/>
                <w:sz w:val="21"/>
                <w:szCs w:val="21"/>
              </w:rPr>
              <w:t>个</w:t>
            </w:r>
            <w:proofErr w:type="gramEnd"/>
            <w:r w:rsidRPr="00F30DBC">
              <w:rPr>
                <w:rFonts w:eastAsia="宋体"/>
                <w:sz w:val="21"/>
                <w:szCs w:val="21"/>
              </w:rPr>
              <w:t>·g</w:t>
            </w:r>
            <w:r w:rsidRPr="00F30DBC">
              <w:rPr>
                <w:rFonts w:eastAsia="宋体"/>
                <w:sz w:val="21"/>
                <w:szCs w:val="21"/>
                <w:vertAlign w:val="superscript"/>
              </w:rPr>
              <w:t>-1</w:t>
            </w:r>
            <w:r w:rsidRPr="00F30DBC">
              <w:rPr>
                <w:rFonts w:eastAsia="宋体"/>
                <w:sz w:val="21"/>
                <w:szCs w:val="21"/>
              </w:rPr>
              <w:t>）</w:t>
            </w:r>
          </w:p>
        </w:tc>
        <w:tc>
          <w:tcPr>
            <w:tcW w:w="598"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23</w:t>
            </w:r>
          </w:p>
        </w:tc>
        <w:tc>
          <w:tcPr>
            <w:tcW w:w="597"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w:t>
            </w:r>
            <w:r w:rsidRPr="00F30DBC">
              <w:rPr>
                <w:rFonts w:eastAsia="宋体"/>
                <w:sz w:val="21"/>
                <w:szCs w:val="21"/>
              </w:rPr>
              <w:t>1100</w:t>
            </w:r>
          </w:p>
        </w:tc>
        <w:tc>
          <w:tcPr>
            <w:tcW w:w="685"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w:t>
            </w:r>
            <w:r w:rsidRPr="00F30DBC">
              <w:rPr>
                <w:rFonts w:eastAsia="宋体"/>
                <w:sz w:val="21"/>
                <w:szCs w:val="21"/>
              </w:rPr>
              <w:t>3.0</w:t>
            </w:r>
          </w:p>
        </w:tc>
        <w:tc>
          <w:tcPr>
            <w:tcW w:w="683" w:type="pct"/>
            <w:tcBorders>
              <w:top w:val="single" w:sz="4" w:space="0" w:color="auto"/>
              <w:left w:val="single" w:sz="4" w:space="0" w:color="auto"/>
              <w:bottom w:val="single" w:sz="4" w:space="0" w:color="auto"/>
              <w:right w:val="single" w:sz="4" w:space="0" w:color="auto"/>
            </w:tcBorders>
            <w:vAlign w:val="center"/>
          </w:tcPr>
          <w:p w:rsidR="0027074B" w:rsidRPr="00F30DBC" w:rsidRDefault="004B23C3" w:rsidP="00F30DBC">
            <w:pPr>
              <w:spacing w:line="240" w:lineRule="auto"/>
              <w:ind w:firstLineChars="0" w:firstLine="0"/>
              <w:jc w:val="center"/>
              <w:rPr>
                <w:rFonts w:eastAsia="宋体"/>
                <w:sz w:val="21"/>
                <w:szCs w:val="21"/>
              </w:rPr>
            </w:pPr>
            <w:r w:rsidRPr="00F30DBC">
              <w:rPr>
                <w:rFonts w:eastAsia="宋体"/>
                <w:sz w:val="21"/>
                <w:szCs w:val="21"/>
              </w:rPr>
              <w:t>≤ 100</w:t>
            </w:r>
          </w:p>
        </w:tc>
        <w:tc>
          <w:tcPr>
            <w:tcW w:w="816" w:type="pct"/>
            <w:vMerge/>
            <w:tcBorders>
              <w:top w:val="single" w:sz="4" w:space="0" w:color="auto"/>
              <w:left w:val="single" w:sz="4" w:space="0" w:color="auto"/>
              <w:bottom w:val="single" w:sz="4" w:space="0" w:color="auto"/>
              <w:right w:val="single" w:sz="4" w:space="0" w:color="auto"/>
            </w:tcBorders>
            <w:vAlign w:val="center"/>
          </w:tcPr>
          <w:p w:rsidR="0027074B" w:rsidRPr="00F30DBC" w:rsidRDefault="0027074B">
            <w:pPr>
              <w:ind w:firstLineChars="0" w:firstLine="0"/>
              <w:jc w:val="center"/>
              <w:rPr>
                <w:rFonts w:eastAsia="宋体"/>
                <w:sz w:val="21"/>
                <w:szCs w:val="21"/>
              </w:rPr>
            </w:pPr>
          </w:p>
        </w:tc>
      </w:tr>
    </w:tbl>
    <w:p w:rsidR="00F30DBC" w:rsidRDefault="00F30DBC">
      <w:pPr>
        <w:pStyle w:val="af6"/>
      </w:pPr>
    </w:p>
    <w:p w:rsidR="00F30DBC" w:rsidRDefault="00F30DBC" w:rsidP="00F30DBC">
      <w:pPr>
        <w:pStyle w:val="13"/>
        <w:spacing w:beforeLines="50" w:before="156"/>
        <w:ind w:firstLineChars="0" w:firstLine="0"/>
        <w:jc w:val="center"/>
        <w:rPr>
          <w:szCs w:val="28"/>
        </w:rPr>
      </w:pPr>
      <w:r>
        <w:rPr>
          <w:noProof/>
          <w:szCs w:val="28"/>
        </w:rPr>
        <w:drawing>
          <wp:inline distT="0" distB="0" distL="0" distR="0" wp14:anchorId="66124FF8" wp14:editId="6792D5A7">
            <wp:extent cx="4750435" cy="4074160"/>
            <wp:effectExtent l="0" t="0" r="4445" b="10160"/>
            <wp:docPr id="33"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2"/>
                    <pic:cNvPicPr>
                      <a:picLocks noChangeAspect="1"/>
                    </pic:cNvPicPr>
                  </pic:nvPicPr>
                  <pic:blipFill>
                    <a:blip r:embed="rId21"/>
                    <a:stretch>
                      <a:fillRect/>
                    </a:stretch>
                  </pic:blipFill>
                  <pic:spPr>
                    <a:xfrm>
                      <a:off x="0" y="0"/>
                      <a:ext cx="4757022" cy="4079492"/>
                    </a:xfrm>
                    <a:prstGeom prst="rect">
                      <a:avLst/>
                    </a:prstGeom>
                  </pic:spPr>
                </pic:pic>
              </a:graphicData>
            </a:graphic>
          </wp:inline>
        </w:drawing>
      </w:r>
    </w:p>
    <w:p w:rsidR="00F30DBC" w:rsidRDefault="00F30DBC">
      <w:pPr>
        <w:pStyle w:val="af6"/>
        <w:rPr>
          <w:rFonts w:eastAsia="宋体" w:hint="eastAsia"/>
          <w:sz w:val="28"/>
          <w:szCs w:val="28"/>
        </w:rPr>
      </w:pPr>
      <w:r>
        <w:t>图</w:t>
      </w:r>
      <w:r>
        <w:t xml:space="preserve">14 </w:t>
      </w:r>
      <w:r>
        <w:t>不同辅料种类对覆膜堆肥温度（</w:t>
      </w:r>
      <w:r>
        <w:t>a</w:t>
      </w:r>
      <w:r>
        <w:t>）、</w:t>
      </w:r>
      <w:r>
        <w:t>GI</w:t>
      </w:r>
      <w:r>
        <w:t>（</w:t>
      </w:r>
      <w:r>
        <w:t>b</w:t>
      </w:r>
      <w:r>
        <w:t>）、体积减量率（</w:t>
      </w:r>
      <w:r>
        <w:t>c</w:t>
      </w:r>
      <w:r>
        <w:t>）和减重率（</w:t>
      </w:r>
      <w:r>
        <w:t>d</w:t>
      </w:r>
      <w:r>
        <w:t>）的影响</w:t>
      </w:r>
    </w:p>
    <w:p w:rsidR="0027074B" w:rsidRDefault="004B23C3">
      <w:pPr>
        <w:pStyle w:val="13"/>
        <w:ind w:firstLine="562"/>
        <w:rPr>
          <w:b/>
          <w:bCs/>
          <w:color w:val="auto"/>
          <w:szCs w:val="28"/>
        </w:rPr>
      </w:pPr>
      <w:r>
        <w:rPr>
          <w:b/>
          <w:bCs/>
          <w:color w:val="auto"/>
          <w:szCs w:val="28"/>
        </w:rPr>
        <w:t>（</w:t>
      </w:r>
      <w:r>
        <w:rPr>
          <w:b/>
          <w:bCs/>
          <w:color w:val="auto"/>
          <w:szCs w:val="28"/>
        </w:rPr>
        <w:t>2</w:t>
      </w:r>
      <w:r>
        <w:rPr>
          <w:b/>
          <w:bCs/>
          <w:color w:val="auto"/>
          <w:szCs w:val="28"/>
        </w:rPr>
        <w:t>）辅料比例试验验证分析</w:t>
      </w:r>
    </w:p>
    <w:p w:rsidR="0027074B" w:rsidRDefault="004B23C3">
      <w:pPr>
        <w:pStyle w:val="13"/>
        <w:ind w:firstLine="560"/>
        <w:rPr>
          <w:color w:val="auto"/>
          <w:szCs w:val="28"/>
        </w:rPr>
      </w:pPr>
      <w:r>
        <w:rPr>
          <w:color w:val="auto"/>
          <w:szCs w:val="28"/>
        </w:rPr>
        <w:t>试验过程以奶牛粪便为主料，分别添加</w:t>
      </w:r>
      <w:r>
        <w:rPr>
          <w:color w:val="auto"/>
          <w:szCs w:val="28"/>
        </w:rPr>
        <w:t>7.5%</w:t>
      </w:r>
      <w:r>
        <w:rPr>
          <w:color w:val="auto"/>
          <w:szCs w:val="28"/>
        </w:rPr>
        <w:t>、</w:t>
      </w:r>
      <w:r>
        <w:rPr>
          <w:color w:val="auto"/>
          <w:szCs w:val="28"/>
        </w:rPr>
        <w:t>15%</w:t>
      </w:r>
      <w:r>
        <w:rPr>
          <w:color w:val="auto"/>
          <w:szCs w:val="28"/>
        </w:rPr>
        <w:t>、</w:t>
      </w:r>
      <w:r>
        <w:rPr>
          <w:color w:val="auto"/>
          <w:szCs w:val="28"/>
        </w:rPr>
        <w:t>22.5%</w:t>
      </w:r>
      <w:r>
        <w:rPr>
          <w:color w:val="auto"/>
          <w:szCs w:val="28"/>
        </w:rPr>
        <w:t>、</w:t>
      </w:r>
      <w:r>
        <w:rPr>
          <w:color w:val="auto"/>
          <w:szCs w:val="28"/>
        </w:rPr>
        <w:t>30%</w:t>
      </w:r>
      <w:r>
        <w:rPr>
          <w:color w:val="auto"/>
          <w:szCs w:val="28"/>
        </w:rPr>
        <w:t>（基于湿重）芦苇秸秆作为辅料进行</w:t>
      </w:r>
      <w:r>
        <w:rPr>
          <w:rFonts w:hint="eastAsia"/>
          <w:color w:val="auto"/>
          <w:szCs w:val="28"/>
        </w:rPr>
        <w:t>覆膜堆肥</w:t>
      </w:r>
      <w:r>
        <w:rPr>
          <w:color w:val="auto"/>
          <w:szCs w:val="28"/>
        </w:rPr>
        <w:t>，混合物料</w:t>
      </w:r>
      <w:r>
        <w:rPr>
          <w:color w:val="auto"/>
          <w:szCs w:val="28"/>
        </w:rPr>
        <w:t>C/N</w:t>
      </w:r>
      <w:r>
        <w:rPr>
          <w:color w:val="auto"/>
          <w:szCs w:val="28"/>
        </w:rPr>
        <w:t>为</w:t>
      </w:r>
      <w:r>
        <w:rPr>
          <w:color w:val="auto"/>
          <w:szCs w:val="28"/>
        </w:rPr>
        <w:t>19~29</w:t>
      </w:r>
      <w:r>
        <w:rPr>
          <w:color w:val="auto"/>
          <w:szCs w:val="28"/>
        </w:rPr>
        <w:t>。试验过程同上。</w:t>
      </w:r>
    </w:p>
    <w:p w:rsidR="0027074B" w:rsidRDefault="004B23C3">
      <w:pPr>
        <w:pStyle w:val="13"/>
        <w:ind w:firstLineChars="0" w:firstLine="0"/>
        <w:jc w:val="center"/>
        <w:rPr>
          <w:color w:val="EE0000"/>
          <w:szCs w:val="28"/>
        </w:rPr>
      </w:pPr>
      <w:r>
        <w:rPr>
          <w:noProof/>
        </w:rPr>
        <w:lastRenderedPageBreak/>
        <w:drawing>
          <wp:inline distT="0" distB="0" distL="114300" distR="114300">
            <wp:extent cx="4082584" cy="2247900"/>
            <wp:effectExtent l="0" t="0" r="0" b="0"/>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22"/>
                    <a:stretch>
                      <a:fillRect/>
                    </a:stretch>
                  </pic:blipFill>
                  <pic:spPr>
                    <a:xfrm>
                      <a:off x="0" y="0"/>
                      <a:ext cx="4094460" cy="2254439"/>
                    </a:xfrm>
                    <a:prstGeom prst="rect">
                      <a:avLst/>
                    </a:prstGeom>
                    <a:noFill/>
                    <a:ln>
                      <a:noFill/>
                    </a:ln>
                  </pic:spPr>
                </pic:pic>
              </a:graphicData>
            </a:graphic>
          </wp:inline>
        </w:drawing>
      </w:r>
    </w:p>
    <w:p w:rsidR="0027074B" w:rsidRDefault="004B23C3">
      <w:pPr>
        <w:pStyle w:val="af6"/>
      </w:pPr>
      <w:r>
        <w:t>图</w:t>
      </w:r>
      <w:r>
        <w:t xml:space="preserve">15 </w:t>
      </w:r>
      <w:r>
        <w:t>覆膜堆肥实景图</w:t>
      </w:r>
    </w:p>
    <w:p w:rsidR="0027074B" w:rsidRDefault="004B23C3">
      <w:pPr>
        <w:pStyle w:val="13"/>
        <w:ind w:firstLine="560"/>
        <w:rPr>
          <w:color w:val="auto"/>
          <w:szCs w:val="28"/>
        </w:rPr>
      </w:pPr>
      <w:r>
        <w:rPr>
          <w:rFonts w:hint="eastAsia"/>
          <w:color w:val="auto"/>
          <w:szCs w:val="28"/>
        </w:rPr>
        <w:t>试验</w:t>
      </w:r>
      <w:r>
        <w:rPr>
          <w:color w:val="auto"/>
          <w:szCs w:val="28"/>
        </w:rPr>
        <w:t>结果表明，升温速</w:t>
      </w:r>
      <w:r>
        <w:rPr>
          <w:rFonts w:hint="eastAsia"/>
          <w:color w:val="auto"/>
          <w:szCs w:val="28"/>
        </w:rPr>
        <w:t>率会</w:t>
      </w:r>
      <w:r>
        <w:rPr>
          <w:color w:val="auto"/>
          <w:szCs w:val="28"/>
        </w:rPr>
        <w:t>随秸秆添加比例</w:t>
      </w:r>
      <w:r>
        <w:rPr>
          <w:rFonts w:hint="eastAsia"/>
          <w:color w:val="auto"/>
          <w:szCs w:val="28"/>
        </w:rPr>
        <w:t>的</w:t>
      </w:r>
      <w:r>
        <w:rPr>
          <w:color w:val="auto"/>
          <w:szCs w:val="28"/>
        </w:rPr>
        <w:t>增大而加快，添加</w:t>
      </w:r>
      <w:r>
        <w:rPr>
          <w:color w:val="auto"/>
          <w:szCs w:val="28"/>
        </w:rPr>
        <w:t>15%</w:t>
      </w:r>
      <w:r>
        <w:rPr>
          <w:color w:val="auto"/>
          <w:szCs w:val="28"/>
        </w:rPr>
        <w:t>及以上秸秆的处理能够在</w:t>
      </w:r>
      <w:r>
        <w:rPr>
          <w:color w:val="auto"/>
          <w:szCs w:val="28"/>
        </w:rPr>
        <w:t>4d</w:t>
      </w:r>
      <w:r>
        <w:rPr>
          <w:color w:val="auto"/>
          <w:szCs w:val="28"/>
        </w:rPr>
        <w:t>内达到</w:t>
      </w:r>
      <w:r>
        <w:rPr>
          <w:color w:val="auto"/>
          <w:szCs w:val="28"/>
        </w:rPr>
        <w:t>50 ℃</w:t>
      </w:r>
      <w:r>
        <w:rPr>
          <w:color w:val="auto"/>
          <w:szCs w:val="28"/>
        </w:rPr>
        <w:t>以上，并维持高温期</w:t>
      </w:r>
      <w:r>
        <w:rPr>
          <w:color w:val="auto"/>
          <w:szCs w:val="28"/>
        </w:rPr>
        <w:t>9~16 d</w:t>
      </w:r>
      <w:r>
        <w:rPr>
          <w:color w:val="auto"/>
          <w:szCs w:val="28"/>
        </w:rPr>
        <w:t>。各处理</w:t>
      </w:r>
      <w:r>
        <w:rPr>
          <w:color w:val="auto"/>
          <w:szCs w:val="28"/>
        </w:rPr>
        <w:t>GI</w:t>
      </w:r>
      <w:r>
        <w:rPr>
          <w:color w:val="auto"/>
          <w:szCs w:val="28"/>
        </w:rPr>
        <w:t>值在前</w:t>
      </w:r>
      <w:r>
        <w:rPr>
          <w:color w:val="auto"/>
          <w:szCs w:val="28"/>
        </w:rPr>
        <w:t>25d</w:t>
      </w:r>
      <w:r>
        <w:rPr>
          <w:color w:val="auto"/>
          <w:szCs w:val="28"/>
        </w:rPr>
        <w:t>呈现先上升后下降的趋势。</w:t>
      </w:r>
      <w:r>
        <w:rPr>
          <w:color w:val="auto"/>
          <w:szCs w:val="28"/>
        </w:rPr>
        <w:t>GI</w:t>
      </w:r>
      <w:r>
        <w:rPr>
          <w:color w:val="auto"/>
          <w:szCs w:val="28"/>
        </w:rPr>
        <w:t>值第</w:t>
      </w:r>
      <w:r>
        <w:rPr>
          <w:color w:val="auto"/>
          <w:szCs w:val="28"/>
        </w:rPr>
        <w:t>10 ~ 25 d</w:t>
      </w:r>
      <w:r>
        <w:rPr>
          <w:color w:val="auto"/>
          <w:szCs w:val="28"/>
        </w:rPr>
        <w:t>显著下降，随后逐渐升高。覆膜堆肥结束时，</w:t>
      </w:r>
      <w:r>
        <w:rPr>
          <w:color w:val="auto"/>
          <w:szCs w:val="28"/>
        </w:rPr>
        <w:t>7.5%</w:t>
      </w:r>
      <w:r>
        <w:rPr>
          <w:color w:val="auto"/>
          <w:szCs w:val="28"/>
        </w:rPr>
        <w:t>、</w:t>
      </w:r>
      <w:r>
        <w:rPr>
          <w:color w:val="auto"/>
          <w:szCs w:val="28"/>
        </w:rPr>
        <w:t>15%</w:t>
      </w:r>
      <w:r>
        <w:rPr>
          <w:color w:val="auto"/>
          <w:szCs w:val="28"/>
        </w:rPr>
        <w:t>、</w:t>
      </w:r>
      <w:r>
        <w:rPr>
          <w:color w:val="auto"/>
          <w:szCs w:val="28"/>
        </w:rPr>
        <w:t>22.5%</w:t>
      </w:r>
      <w:r>
        <w:rPr>
          <w:color w:val="auto"/>
          <w:szCs w:val="28"/>
        </w:rPr>
        <w:t>和</w:t>
      </w:r>
      <w:r>
        <w:rPr>
          <w:color w:val="auto"/>
          <w:szCs w:val="28"/>
        </w:rPr>
        <w:t>30%</w:t>
      </w:r>
      <w:r>
        <w:rPr>
          <w:color w:val="auto"/>
          <w:szCs w:val="28"/>
        </w:rPr>
        <w:t>处理的</w:t>
      </w:r>
      <w:r>
        <w:rPr>
          <w:color w:val="auto"/>
          <w:szCs w:val="28"/>
        </w:rPr>
        <w:t>GI</w:t>
      </w:r>
      <w:r>
        <w:rPr>
          <w:color w:val="auto"/>
          <w:szCs w:val="28"/>
        </w:rPr>
        <w:t>值分别为</w:t>
      </w:r>
      <w:r>
        <w:rPr>
          <w:color w:val="auto"/>
          <w:szCs w:val="28"/>
        </w:rPr>
        <w:t>96.0%</w:t>
      </w:r>
      <w:r>
        <w:rPr>
          <w:color w:val="auto"/>
          <w:szCs w:val="28"/>
        </w:rPr>
        <w:t>、</w:t>
      </w:r>
      <w:r>
        <w:rPr>
          <w:color w:val="auto"/>
          <w:szCs w:val="28"/>
        </w:rPr>
        <w:t>129.1%</w:t>
      </w:r>
      <w:r>
        <w:rPr>
          <w:color w:val="auto"/>
          <w:szCs w:val="28"/>
        </w:rPr>
        <w:t>、</w:t>
      </w:r>
      <w:r>
        <w:rPr>
          <w:color w:val="auto"/>
          <w:szCs w:val="28"/>
        </w:rPr>
        <w:t>116.5%</w:t>
      </w:r>
      <w:r>
        <w:rPr>
          <w:color w:val="auto"/>
          <w:szCs w:val="28"/>
        </w:rPr>
        <w:t>、</w:t>
      </w:r>
      <w:r>
        <w:rPr>
          <w:color w:val="auto"/>
          <w:szCs w:val="28"/>
        </w:rPr>
        <w:t>118.3%</w:t>
      </w:r>
      <w:r>
        <w:rPr>
          <w:color w:val="auto"/>
          <w:szCs w:val="28"/>
        </w:rPr>
        <w:t>。</w:t>
      </w:r>
      <w:proofErr w:type="gramStart"/>
      <w:r>
        <w:rPr>
          <w:color w:val="auto"/>
          <w:szCs w:val="28"/>
        </w:rPr>
        <w:t>堆体体积</w:t>
      </w:r>
      <w:proofErr w:type="gramEnd"/>
      <w:r>
        <w:rPr>
          <w:color w:val="auto"/>
          <w:szCs w:val="28"/>
        </w:rPr>
        <w:t>减量率在前</w:t>
      </w:r>
      <w:r>
        <w:rPr>
          <w:color w:val="auto"/>
          <w:szCs w:val="28"/>
        </w:rPr>
        <w:t>10d</w:t>
      </w:r>
      <w:r>
        <w:rPr>
          <w:color w:val="auto"/>
          <w:szCs w:val="28"/>
        </w:rPr>
        <w:t>增幅较大，与体积减量率相反，</w:t>
      </w:r>
      <w:r>
        <w:rPr>
          <w:color w:val="auto"/>
          <w:szCs w:val="28"/>
        </w:rPr>
        <w:t>7.5%</w:t>
      </w:r>
      <w:r>
        <w:rPr>
          <w:color w:val="auto"/>
          <w:szCs w:val="28"/>
        </w:rPr>
        <w:t>和</w:t>
      </w:r>
      <w:r>
        <w:rPr>
          <w:color w:val="auto"/>
          <w:szCs w:val="28"/>
        </w:rPr>
        <w:t>15%</w:t>
      </w:r>
      <w:r>
        <w:rPr>
          <w:color w:val="auto"/>
          <w:szCs w:val="28"/>
        </w:rPr>
        <w:t>处理在前</w:t>
      </w:r>
      <w:r>
        <w:rPr>
          <w:color w:val="auto"/>
          <w:szCs w:val="28"/>
        </w:rPr>
        <w:t>10d</w:t>
      </w:r>
      <w:r>
        <w:rPr>
          <w:color w:val="auto"/>
          <w:szCs w:val="28"/>
        </w:rPr>
        <w:t>减重率最大（</w:t>
      </w:r>
      <w:r>
        <w:rPr>
          <w:color w:val="auto"/>
          <w:szCs w:val="28"/>
        </w:rPr>
        <w:t>24% ~ 31%</w:t>
      </w:r>
      <w:r>
        <w:rPr>
          <w:color w:val="auto"/>
          <w:szCs w:val="28"/>
        </w:rPr>
        <w:t>）。各处理减重率在</w:t>
      </w:r>
      <w:r>
        <w:rPr>
          <w:color w:val="auto"/>
          <w:szCs w:val="28"/>
        </w:rPr>
        <w:t>57% ~ 64%</w:t>
      </w:r>
      <w:r>
        <w:rPr>
          <w:color w:val="auto"/>
          <w:szCs w:val="28"/>
        </w:rPr>
        <w:t>之间。各处理的蛔虫</w:t>
      </w:r>
      <w:proofErr w:type="gramStart"/>
      <w:r>
        <w:rPr>
          <w:color w:val="auto"/>
          <w:szCs w:val="28"/>
        </w:rPr>
        <w:t>卵</w:t>
      </w:r>
      <w:proofErr w:type="gramEnd"/>
      <w:r>
        <w:rPr>
          <w:color w:val="auto"/>
          <w:szCs w:val="28"/>
        </w:rPr>
        <w:t>死亡率均为</w:t>
      </w:r>
      <w:r>
        <w:rPr>
          <w:color w:val="auto"/>
          <w:szCs w:val="28"/>
        </w:rPr>
        <w:t>100%</w:t>
      </w:r>
      <w:r>
        <w:rPr>
          <w:color w:val="auto"/>
          <w:szCs w:val="28"/>
        </w:rPr>
        <w:t>，高于《有机肥料》（</w:t>
      </w:r>
      <w:r>
        <w:rPr>
          <w:color w:val="auto"/>
          <w:szCs w:val="28"/>
        </w:rPr>
        <w:t>NY/T 525-2021</w:t>
      </w:r>
      <w:r>
        <w:rPr>
          <w:color w:val="auto"/>
          <w:szCs w:val="28"/>
        </w:rPr>
        <w:t>）的标准值（＞</w:t>
      </w:r>
      <w:r>
        <w:rPr>
          <w:color w:val="auto"/>
          <w:szCs w:val="28"/>
        </w:rPr>
        <w:t>95%</w:t>
      </w:r>
      <w:r>
        <w:rPr>
          <w:color w:val="auto"/>
          <w:szCs w:val="28"/>
        </w:rPr>
        <w:t>）。此外，</w:t>
      </w:r>
      <w:r>
        <w:rPr>
          <w:color w:val="auto"/>
          <w:szCs w:val="28"/>
        </w:rPr>
        <w:t>7.5%</w:t>
      </w:r>
      <w:r>
        <w:rPr>
          <w:color w:val="auto"/>
          <w:szCs w:val="28"/>
        </w:rPr>
        <w:t>、</w:t>
      </w:r>
      <w:r>
        <w:rPr>
          <w:color w:val="auto"/>
          <w:szCs w:val="28"/>
        </w:rPr>
        <w:t>15%</w:t>
      </w:r>
      <w:r>
        <w:rPr>
          <w:color w:val="auto"/>
          <w:szCs w:val="28"/>
        </w:rPr>
        <w:t>、</w:t>
      </w:r>
      <w:r>
        <w:rPr>
          <w:color w:val="auto"/>
          <w:szCs w:val="28"/>
        </w:rPr>
        <w:t>22.5%</w:t>
      </w:r>
      <w:r>
        <w:rPr>
          <w:color w:val="auto"/>
          <w:szCs w:val="28"/>
        </w:rPr>
        <w:t>处理大肠菌群</w:t>
      </w:r>
      <w:proofErr w:type="gramStart"/>
      <w:r>
        <w:rPr>
          <w:color w:val="auto"/>
          <w:szCs w:val="28"/>
        </w:rPr>
        <w:t>数满足</w:t>
      </w:r>
      <w:proofErr w:type="gramEnd"/>
      <w:r>
        <w:rPr>
          <w:color w:val="auto"/>
          <w:szCs w:val="28"/>
        </w:rPr>
        <w:t>标准值要求，</w:t>
      </w:r>
      <w:r>
        <w:rPr>
          <w:color w:val="auto"/>
          <w:szCs w:val="28"/>
        </w:rPr>
        <w:t>30%</w:t>
      </w:r>
      <w:r>
        <w:rPr>
          <w:color w:val="auto"/>
          <w:szCs w:val="28"/>
        </w:rPr>
        <w:t>处理不满足。</w:t>
      </w:r>
    </w:p>
    <w:p w:rsidR="0027074B" w:rsidRDefault="004B23C3">
      <w:pPr>
        <w:pStyle w:val="af6"/>
        <w:spacing w:beforeLines="50" w:before="156"/>
        <w:ind w:firstLine="482"/>
      </w:pPr>
      <w:r>
        <w:t>表</w:t>
      </w:r>
      <w:r>
        <w:t xml:space="preserve">7 </w:t>
      </w:r>
      <w:r>
        <w:t>覆膜堆肥结束时无害化指标</w:t>
      </w:r>
    </w:p>
    <w:tbl>
      <w:tblPr>
        <w:tblStyle w:val="14"/>
        <w:tblpPr w:leftFromText="180" w:rightFromText="180" w:vertAnchor="text" w:tblpXSpec="center" w:tblpY="1"/>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7"/>
        <w:gridCol w:w="910"/>
        <w:gridCol w:w="910"/>
        <w:gridCol w:w="910"/>
        <w:gridCol w:w="909"/>
        <w:gridCol w:w="909"/>
        <w:gridCol w:w="1341"/>
      </w:tblGrid>
      <w:tr w:rsidR="0027074B" w:rsidRPr="00417BEC" w:rsidTr="00417BEC">
        <w:trPr>
          <w:trHeight w:val="616"/>
        </w:trPr>
        <w:tc>
          <w:tcPr>
            <w:tcW w:w="1449"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项目</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7.5%</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15%</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22.5%</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30%</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标准值</w:t>
            </w:r>
          </w:p>
        </w:tc>
        <w:tc>
          <w:tcPr>
            <w:tcW w:w="80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参考文献</w:t>
            </w:r>
          </w:p>
        </w:tc>
      </w:tr>
      <w:tr w:rsidR="0027074B" w:rsidRPr="00417BEC" w:rsidTr="00417BEC">
        <w:trPr>
          <w:trHeight w:val="616"/>
        </w:trPr>
        <w:tc>
          <w:tcPr>
            <w:tcW w:w="1449"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蛔虫</w:t>
            </w:r>
            <w:proofErr w:type="gramStart"/>
            <w:r w:rsidRPr="00417BEC">
              <w:rPr>
                <w:rFonts w:eastAsia="宋体"/>
                <w:sz w:val="21"/>
                <w:szCs w:val="21"/>
              </w:rPr>
              <w:t>卵</w:t>
            </w:r>
            <w:proofErr w:type="gramEnd"/>
            <w:r w:rsidRPr="00417BEC">
              <w:rPr>
                <w:rFonts w:eastAsia="宋体"/>
                <w:sz w:val="21"/>
                <w:szCs w:val="21"/>
              </w:rPr>
              <w:t>死亡率（</w:t>
            </w:r>
            <w:r w:rsidRPr="00417BEC">
              <w:rPr>
                <w:rFonts w:eastAsia="宋体"/>
                <w:sz w:val="21"/>
                <w:szCs w:val="21"/>
              </w:rPr>
              <w:t>%</w:t>
            </w:r>
            <w:r w:rsidRPr="00417BEC">
              <w:rPr>
                <w:rFonts w:eastAsia="宋体"/>
                <w:sz w:val="21"/>
                <w:szCs w:val="21"/>
              </w:rPr>
              <w:t>）</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100</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100</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100</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100</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 95</w:t>
            </w:r>
          </w:p>
        </w:tc>
        <w:tc>
          <w:tcPr>
            <w:tcW w:w="808" w:type="pct"/>
            <w:vMerge w:val="restar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NY/T 525-2021</w:t>
            </w:r>
          </w:p>
        </w:tc>
      </w:tr>
      <w:tr w:rsidR="0027074B" w:rsidRPr="00417BEC" w:rsidTr="00417BEC">
        <w:trPr>
          <w:trHeight w:val="826"/>
        </w:trPr>
        <w:tc>
          <w:tcPr>
            <w:tcW w:w="1449"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粪大肠菌群数（</w:t>
            </w:r>
            <w:proofErr w:type="gramStart"/>
            <w:r w:rsidRPr="00417BEC">
              <w:rPr>
                <w:rFonts w:eastAsia="宋体"/>
                <w:sz w:val="21"/>
                <w:szCs w:val="21"/>
              </w:rPr>
              <w:t>个</w:t>
            </w:r>
            <w:proofErr w:type="gramEnd"/>
            <w:r w:rsidRPr="00417BEC">
              <w:rPr>
                <w:rFonts w:eastAsia="宋体"/>
                <w:sz w:val="21"/>
                <w:szCs w:val="21"/>
              </w:rPr>
              <w:t>·g</w:t>
            </w:r>
            <w:r w:rsidRPr="00417BEC">
              <w:rPr>
                <w:rFonts w:eastAsia="宋体"/>
                <w:sz w:val="21"/>
                <w:szCs w:val="21"/>
                <w:vertAlign w:val="superscript"/>
              </w:rPr>
              <w:t>-1</w:t>
            </w:r>
            <w:r w:rsidRPr="00417BEC">
              <w:rPr>
                <w:rFonts w:eastAsia="宋体"/>
                <w:sz w:val="21"/>
                <w:szCs w:val="21"/>
              </w:rPr>
              <w:t>）</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93</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9.2</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23</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1100</w:t>
            </w:r>
          </w:p>
        </w:tc>
        <w:tc>
          <w:tcPr>
            <w:tcW w:w="54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 100</w:t>
            </w:r>
          </w:p>
        </w:tc>
        <w:tc>
          <w:tcPr>
            <w:tcW w:w="808" w:type="pct"/>
            <w:vMerge/>
            <w:tcBorders>
              <w:top w:val="single" w:sz="4" w:space="0" w:color="auto"/>
              <w:left w:val="single" w:sz="4" w:space="0" w:color="auto"/>
              <w:bottom w:val="single" w:sz="4" w:space="0" w:color="auto"/>
              <w:right w:val="single" w:sz="4" w:space="0" w:color="auto"/>
            </w:tcBorders>
            <w:vAlign w:val="center"/>
          </w:tcPr>
          <w:p w:rsidR="0027074B" w:rsidRPr="00417BEC" w:rsidRDefault="0027074B" w:rsidP="00417BEC">
            <w:pPr>
              <w:spacing w:line="240" w:lineRule="auto"/>
              <w:ind w:firstLineChars="0" w:firstLine="0"/>
              <w:jc w:val="center"/>
              <w:rPr>
                <w:rFonts w:eastAsia="宋体"/>
                <w:sz w:val="21"/>
                <w:szCs w:val="21"/>
              </w:rPr>
            </w:pPr>
          </w:p>
        </w:tc>
      </w:tr>
    </w:tbl>
    <w:p w:rsidR="0027074B" w:rsidRDefault="0027074B" w:rsidP="00417BEC">
      <w:pPr>
        <w:pStyle w:val="13"/>
        <w:spacing w:line="240" w:lineRule="auto"/>
        <w:ind w:firstLine="560"/>
        <w:rPr>
          <w:color w:val="auto"/>
          <w:szCs w:val="28"/>
        </w:rPr>
      </w:pPr>
    </w:p>
    <w:p w:rsidR="0027074B" w:rsidRDefault="004B23C3">
      <w:pPr>
        <w:pStyle w:val="13"/>
        <w:ind w:firstLineChars="0" w:firstLine="0"/>
        <w:jc w:val="center"/>
        <w:rPr>
          <w:color w:val="auto"/>
          <w:szCs w:val="28"/>
        </w:rPr>
      </w:pPr>
      <w:r>
        <w:rPr>
          <w:noProof/>
          <w:szCs w:val="28"/>
        </w:rPr>
        <w:lastRenderedPageBreak/>
        <w:drawing>
          <wp:inline distT="0" distB="0" distL="0" distR="0">
            <wp:extent cx="4961890" cy="3909060"/>
            <wp:effectExtent l="0" t="0" r="0" b="0"/>
            <wp:docPr id="6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r:embed="rId23"/>
                    <a:stretch>
                      <a:fillRect/>
                    </a:stretch>
                  </pic:blipFill>
                  <pic:spPr>
                    <a:xfrm>
                      <a:off x="0" y="0"/>
                      <a:ext cx="4972522" cy="3917074"/>
                    </a:xfrm>
                    <a:prstGeom prst="rect">
                      <a:avLst/>
                    </a:prstGeom>
                  </pic:spPr>
                </pic:pic>
              </a:graphicData>
            </a:graphic>
          </wp:inline>
        </w:drawing>
      </w:r>
    </w:p>
    <w:p w:rsidR="0027074B" w:rsidRDefault="004B23C3">
      <w:pPr>
        <w:pStyle w:val="af6"/>
      </w:pPr>
      <w:r>
        <w:t>图</w:t>
      </w:r>
      <w:r>
        <w:t xml:space="preserve">16 </w:t>
      </w:r>
      <w:r>
        <w:t>不同辅料比例对覆膜堆肥温度（</w:t>
      </w:r>
      <w:r>
        <w:t>a</w:t>
      </w:r>
      <w:r>
        <w:t>）、</w:t>
      </w:r>
      <w:r>
        <w:t>GI</w:t>
      </w:r>
      <w:r>
        <w:t>（</w:t>
      </w:r>
      <w:r>
        <w:t>b</w:t>
      </w:r>
      <w:r>
        <w:t>）、体积减量率（</w:t>
      </w:r>
      <w:r>
        <w:t>c</w:t>
      </w:r>
      <w:r>
        <w:t>）和减重率（</w:t>
      </w:r>
      <w:r>
        <w:t>d</w:t>
      </w:r>
      <w:r>
        <w:t>）的影响</w:t>
      </w:r>
    </w:p>
    <w:p w:rsidR="0027074B" w:rsidRDefault="004B23C3">
      <w:pPr>
        <w:pStyle w:val="13"/>
        <w:ind w:firstLine="562"/>
        <w:rPr>
          <w:b/>
          <w:bCs/>
          <w:color w:val="auto"/>
          <w:szCs w:val="28"/>
        </w:rPr>
      </w:pPr>
      <w:r>
        <w:rPr>
          <w:b/>
          <w:bCs/>
          <w:color w:val="auto"/>
          <w:szCs w:val="28"/>
        </w:rPr>
        <w:t>（</w:t>
      </w:r>
      <w:r>
        <w:rPr>
          <w:b/>
          <w:bCs/>
          <w:color w:val="auto"/>
          <w:szCs w:val="28"/>
        </w:rPr>
        <w:t>3</w:t>
      </w:r>
      <w:r>
        <w:rPr>
          <w:b/>
          <w:bCs/>
          <w:color w:val="auto"/>
          <w:szCs w:val="28"/>
        </w:rPr>
        <w:t>）</w:t>
      </w:r>
      <w:proofErr w:type="gramStart"/>
      <w:r>
        <w:rPr>
          <w:b/>
          <w:bCs/>
          <w:color w:val="auto"/>
          <w:szCs w:val="28"/>
        </w:rPr>
        <w:t>堆体规格</w:t>
      </w:r>
      <w:proofErr w:type="gramEnd"/>
      <w:r>
        <w:rPr>
          <w:b/>
          <w:bCs/>
          <w:color w:val="auto"/>
          <w:szCs w:val="28"/>
        </w:rPr>
        <w:t>试验验证分析</w:t>
      </w:r>
    </w:p>
    <w:p w:rsidR="0027074B" w:rsidRDefault="004B23C3">
      <w:pPr>
        <w:pStyle w:val="13"/>
        <w:ind w:firstLine="560"/>
      </w:pPr>
      <w:r>
        <w:t>添加</w:t>
      </w:r>
      <w:r>
        <w:t>15%</w:t>
      </w:r>
      <w:r>
        <w:t>（基于湿重）芦苇秸秆作为辅料，分别设置</w:t>
      </w:r>
      <w:r>
        <w:rPr>
          <w:rFonts w:hint="eastAsia"/>
        </w:rPr>
        <w:t>0.5</w:t>
      </w:r>
      <w:r>
        <w:t>、</w:t>
      </w:r>
      <w:r>
        <w:rPr>
          <w:rFonts w:hint="eastAsia"/>
        </w:rPr>
        <w:t>1</w:t>
      </w:r>
      <w:r w:rsidR="00417BEC">
        <w:t>.0</w:t>
      </w:r>
      <w:r>
        <w:t>、</w:t>
      </w:r>
      <w:r>
        <w:rPr>
          <w:rFonts w:hint="eastAsia"/>
        </w:rPr>
        <w:t>1.5</w:t>
      </w:r>
      <w:r w:rsidR="00417BEC">
        <w:t xml:space="preserve"> </w:t>
      </w:r>
      <w:r>
        <w:t>m</w:t>
      </w:r>
      <w:r>
        <w:t>堆高进行堆肥。试验过程同上。</w:t>
      </w:r>
    </w:p>
    <w:p w:rsidR="0027074B" w:rsidRDefault="004B23C3">
      <w:pPr>
        <w:pStyle w:val="13"/>
        <w:ind w:firstLineChars="0" w:firstLine="0"/>
        <w:jc w:val="center"/>
        <w:rPr>
          <w:color w:val="EE0000"/>
          <w:szCs w:val="28"/>
        </w:rPr>
      </w:pPr>
      <w:r>
        <w:rPr>
          <w:noProof/>
        </w:rPr>
        <w:drawing>
          <wp:inline distT="0" distB="0" distL="114300" distR="114300">
            <wp:extent cx="5267960" cy="1194435"/>
            <wp:effectExtent l="0" t="0" r="5080" b="9525"/>
            <wp:docPr id="1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
                    <pic:cNvPicPr>
                      <a:picLocks noChangeAspect="1"/>
                    </pic:cNvPicPr>
                  </pic:nvPicPr>
                  <pic:blipFill>
                    <a:blip r:embed="rId24"/>
                    <a:stretch>
                      <a:fillRect/>
                    </a:stretch>
                  </pic:blipFill>
                  <pic:spPr>
                    <a:xfrm>
                      <a:off x="0" y="0"/>
                      <a:ext cx="5267960" cy="1194435"/>
                    </a:xfrm>
                    <a:prstGeom prst="rect">
                      <a:avLst/>
                    </a:prstGeom>
                    <a:noFill/>
                    <a:ln>
                      <a:noFill/>
                    </a:ln>
                  </pic:spPr>
                </pic:pic>
              </a:graphicData>
            </a:graphic>
          </wp:inline>
        </w:drawing>
      </w:r>
    </w:p>
    <w:p w:rsidR="0027074B" w:rsidRDefault="004B23C3">
      <w:pPr>
        <w:pStyle w:val="af6"/>
      </w:pPr>
      <w:r>
        <w:t>图</w:t>
      </w:r>
      <w:r>
        <w:t xml:space="preserve">17 </w:t>
      </w:r>
      <w:r>
        <w:t>覆膜堆肥实景图（</w:t>
      </w:r>
      <w:r>
        <w:t>a</w:t>
      </w:r>
      <w:r>
        <w:t>）及取样点位俯视图（</w:t>
      </w:r>
      <w:r>
        <w:t>b</w:t>
      </w:r>
      <w:r>
        <w:t>）、侧面图（</w:t>
      </w:r>
      <w:r>
        <w:t>c</w:t>
      </w:r>
      <w:r>
        <w:t>）</w:t>
      </w:r>
    </w:p>
    <w:p w:rsidR="0027074B" w:rsidRDefault="004B23C3">
      <w:pPr>
        <w:pStyle w:val="13"/>
        <w:ind w:firstLine="560"/>
      </w:pPr>
      <w:r>
        <w:rPr>
          <w:rFonts w:hint="eastAsia"/>
        </w:rPr>
        <w:t>试验</w:t>
      </w:r>
      <w:r>
        <w:t>结果表明，各处理升温速度随着堆体高度增加而加快，以</w:t>
      </w:r>
      <w:r>
        <w:rPr>
          <w:rFonts w:hint="eastAsia"/>
        </w:rPr>
        <w:t>1</w:t>
      </w:r>
      <w:r>
        <w:t>米高处理维持高温时间最长，且各处理均维持</w:t>
      </w:r>
      <w:r w:rsidR="00417BEC">
        <w:t>60</w:t>
      </w:r>
      <w:r>
        <w:t>℃</w:t>
      </w:r>
      <w:r>
        <w:t>以上高温达</w:t>
      </w:r>
      <w:r>
        <w:t>10</w:t>
      </w:r>
      <w:r w:rsidR="00417BEC">
        <w:t xml:space="preserve"> </w:t>
      </w:r>
      <w:r>
        <w:t>d</w:t>
      </w:r>
      <w:r>
        <w:t>以上。覆膜堆肥结束时，各处理</w:t>
      </w:r>
      <w:r>
        <w:t>GI</w:t>
      </w:r>
      <w:r>
        <w:t>值均＞</w:t>
      </w:r>
      <w:r>
        <w:t>80%</w:t>
      </w:r>
      <w:r>
        <w:t>，符合有机肥腐熟标</w:t>
      </w:r>
      <w:r>
        <w:lastRenderedPageBreak/>
        <w:t>准，其中，以</w:t>
      </w:r>
      <w:r>
        <w:rPr>
          <w:rFonts w:hint="eastAsia"/>
        </w:rPr>
        <w:t>1</w:t>
      </w:r>
      <w:r w:rsidR="00417BEC">
        <w:t>.0</w:t>
      </w:r>
      <w:r>
        <w:t>米</w:t>
      </w:r>
      <w:proofErr w:type="gramStart"/>
      <w:r>
        <w:t>高堆体</w:t>
      </w:r>
      <w:proofErr w:type="gramEnd"/>
      <w:r>
        <w:t>的</w:t>
      </w:r>
      <w:r>
        <w:t>GI</w:t>
      </w:r>
      <w:r>
        <w:t>值最高（</w:t>
      </w:r>
      <w:r>
        <w:t>124.1%</w:t>
      </w:r>
      <w:r>
        <w:t>）。堆置</w:t>
      </w:r>
      <w:r>
        <w:t>25 d</w:t>
      </w:r>
      <w:r>
        <w:t>后，各处理物料体积减量率和减重率分别为</w:t>
      </w:r>
      <w:r>
        <w:t>6% ~ 20%</w:t>
      </w:r>
      <w:r>
        <w:t>和</w:t>
      </w:r>
      <w:r>
        <w:t>38% ~ 42%</w:t>
      </w:r>
      <w:r>
        <w:t>，并且主要以水分蒸发散失为主，水分损失量占</w:t>
      </w:r>
      <w:proofErr w:type="gramStart"/>
      <w:r>
        <w:t>物料总</w:t>
      </w:r>
      <w:proofErr w:type="gramEnd"/>
      <w:r>
        <w:t>损失量（湿基）的</w:t>
      </w:r>
      <w:r>
        <w:t>70% ~ 85%</w:t>
      </w:r>
      <w:r>
        <w:t>。</w:t>
      </w:r>
      <w:r>
        <w:rPr>
          <w:szCs w:val="28"/>
        </w:rPr>
        <w:t>覆膜堆肥</w:t>
      </w:r>
      <w:r>
        <w:t>结束时，各处理的蛔虫</w:t>
      </w:r>
      <w:proofErr w:type="gramStart"/>
      <w:r>
        <w:t>卵</w:t>
      </w:r>
      <w:proofErr w:type="gramEnd"/>
      <w:r>
        <w:t>死亡率均为</w:t>
      </w:r>
      <w:r>
        <w:t>100%</w:t>
      </w:r>
      <w:r>
        <w:t>，高于《有机肥料》（</w:t>
      </w:r>
      <w:r>
        <w:t>NY/T 525-2021</w:t>
      </w:r>
      <w:r>
        <w:t>）的标准值（＞</w:t>
      </w:r>
      <w:r>
        <w:t>95%</w:t>
      </w:r>
      <w:r>
        <w:t>）。此外，</w:t>
      </w:r>
      <w:r>
        <w:rPr>
          <w:rFonts w:hint="eastAsia"/>
        </w:rPr>
        <w:t>1</w:t>
      </w:r>
      <w:r w:rsidR="00417BEC">
        <w:t>.0</w:t>
      </w:r>
      <w:r>
        <w:t>、</w:t>
      </w:r>
      <w:r>
        <w:rPr>
          <w:rFonts w:hint="eastAsia"/>
        </w:rPr>
        <w:t>1.5</w:t>
      </w:r>
      <w:r w:rsidR="00417BEC">
        <w:t xml:space="preserve"> </w:t>
      </w:r>
      <w:r>
        <w:t>m</w:t>
      </w:r>
      <w:r>
        <w:t>处理大肠菌群数均满足标准值，</w:t>
      </w:r>
      <w:r>
        <w:rPr>
          <w:rFonts w:hint="eastAsia"/>
        </w:rPr>
        <w:t>0.5</w:t>
      </w:r>
      <w:r>
        <w:t xml:space="preserve"> m</w:t>
      </w:r>
      <w:r>
        <w:t>处理不满足。</w:t>
      </w:r>
    </w:p>
    <w:p w:rsidR="0027074B" w:rsidRDefault="004B23C3">
      <w:pPr>
        <w:pStyle w:val="af6"/>
        <w:spacing w:beforeLines="50" w:before="156"/>
        <w:ind w:firstLine="482"/>
      </w:pPr>
      <w:r>
        <w:t>表</w:t>
      </w:r>
      <w:r>
        <w:t xml:space="preserve">8 </w:t>
      </w:r>
      <w:r>
        <w:t>覆膜堆肥结束时无害化指标</w:t>
      </w:r>
    </w:p>
    <w:tbl>
      <w:tblPr>
        <w:tblStyle w:val="14"/>
        <w:tblpPr w:leftFromText="180" w:rightFromText="180" w:vertAnchor="text" w:tblpXSpec="center" w:tblpY="1"/>
        <w:tblOverlap w:val="never"/>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85"/>
        <w:gridCol w:w="1004"/>
        <w:gridCol w:w="1004"/>
        <w:gridCol w:w="1004"/>
        <w:gridCol w:w="1256"/>
        <w:gridCol w:w="1543"/>
      </w:tblGrid>
      <w:tr w:rsidR="0027074B" w:rsidRPr="00417BEC">
        <w:trPr>
          <w:trHeight w:val="616"/>
        </w:trPr>
        <w:tc>
          <w:tcPr>
            <w:tcW w:w="149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项目</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hint="eastAsia"/>
                <w:b/>
                <w:sz w:val="21"/>
                <w:szCs w:val="21"/>
              </w:rPr>
              <w:t>0.5</w:t>
            </w:r>
            <w:r w:rsidRPr="00417BEC">
              <w:rPr>
                <w:rFonts w:eastAsia="宋体"/>
                <w:b/>
                <w:sz w:val="21"/>
                <w:szCs w:val="21"/>
              </w:rPr>
              <w:t xml:space="preserve"> m</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hint="eastAsia"/>
                <w:b/>
                <w:sz w:val="21"/>
                <w:szCs w:val="21"/>
              </w:rPr>
              <w:t>1</w:t>
            </w:r>
            <w:r w:rsidR="00417BEC">
              <w:rPr>
                <w:rFonts w:eastAsia="宋体"/>
                <w:b/>
                <w:sz w:val="21"/>
                <w:szCs w:val="21"/>
              </w:rPr>
              <w:t xml:space="preserve">.0 </w:t>
            </w:r>
            <w:r w:rsidRPr="00417BEC">
              <w:rPr>
                <w:rFonts w:eastAsia="宋体"/>
                <w:b/>
                <w:sz w:val="21"/>
                <w:szCs w:val="21"/>
              </w:rPr>
              <w:t>m</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hint="eastAsia"/>
                <w:b/>
                <w:sz w:val="21"/>
                <w:szCs w:val="21"/>
              </w:rPr>
              <w:t>1.5</w:t>
            </w:r>
            <w:r w:rsidRPr="00417BEC">
              <w:rPr>
                <w:rFonts w:eastAsia="宋体"/>
                <w:b/>
                <w:sz w:val="21"/>
                <w:szCs w:val="21"/>
              </w:rPr>
              <w:t xml:space="preserve"> m</w:t>
            </w:r>
          </w:p>
        </w:tc>
        <w:tc>
          <w:tcPr>
            <w:tcW w:w="757"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标准值</w:t>
            </w:r>
          </w:p>
        </w:tc>
        <w:tc>
          <w:tcPr>
            <w:tcW w:w="930"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b/>
                <w:sz w:val="21"/>
                <w:szCs w:val="21"/>
              </w:rPr>
            </w:pPr>
            <w:r w:rsidRPr="00417BEC">
              <w:rPr>
                <w:rFonts w:eastAsia="宋体"/>
                <w:b/>
                <w:sz w:val="21"/>
                <w:szCs w:val="21"/>
              </w:rPr>
              <w:t>参考文献</w:t>
            </w:r>
          </w:p>
        </w:tc>
      </w:tr>
      <w:tr w:rsidR="0027074B" w:rsidRPr="00417BEC">
        <w:trPr>
          <w:trHeight w:val="616"/>
        </w:trPr>
        <w:tc>
          <w:tcPr>
            <w:tcW w:w="149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蛔虫</w:t>
            </w:r>
            <w:proofErr w:type="gramStart"/>
            <w:r w:rsidRPr="00417BEC">
              <w:rPr>
                <w:rFonts w:eastAsia="宋体"/>
                <w:sz w:val="21"/>
                <w:szCs w:val="21"/>
              </w:rPr>
              <w:t>卵</w:t>
            </w:r>
            <w:proofErr w:type="gramEnd"/>
            <w:r w:rsidRPr="00417BEC">
              <w:rPr>
                <w:rFonts w:eastAsia="宋体"/>
                <w:sz w:val="21"/>
                <w:szCs w:val="21"/>
              </w:rPr>
              <w:t>死亡率（</w:t>
            </w:r>
            <w:r w:rsidRPr="00417BEC">
              <w:rPr>
                <w:rFonts w:eastAsia="宋体"/>
                <w:sz w:val="21"/>
                <w:szCs w:val="21"/>
              </w:rPr>
              <w:t>%</w:t>
            </w:r>
            <w:r w:rsidRPr="00417BEC">
              <w:rPr>
                <w:rFonts w:eastAsia="宋体"/>
                <w:sz w:val="21"/>
                <w:szCs w:val="21"/>
              </w:rPr>
              <w:t>）</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100</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100</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100</w:t>
            </w:r>
          </w:p>
        </w:tc>
        <w:tc>
          <w:tcPr>
            <w:tcW w:w="757"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 95</w:t>
            </w:r>
          </w:p>
        </w:tc>
        <w:tc>
          <w:tcPr>
            <w:tcW w:w="930" w:type="pct"/>
            <w:vMerge w:val="restart"/>
            <w:tcBorders>
              <w:top w:val="single" w:sz="4" w:space="0" w:color="auto"/>
              <w:left w:val="single" w:sz="4" w:space="0" w:color="auto"/>
              <w:bottom w:val="single" w:sz="4" w:space="0" w:color="auto"/>
              <w:right w:val="single" w:sz="4" w:space="0" w:color="auto"/>
            </w:tcBorders>
            <w:vAlign w:val="center"/>
          </w:tcPr>
          <w:p w:rsidR="0027074B" w:rsidRPr="00417BEC" w:rsidRDefault="004B23C3">
            <w:pPr>
              <w:ind w:firstLineChars="0" w:firstLine="0"/>
              <w:jc w:val="center"/>
              <w:rPr>
                <w:rFonts w:eastAsia="宋体"/>
                <w:sz w:val="21"/>
                <w:szCs w:val="21"/>
              </w:rPr>
            </w:pPr>
            <w:r w:rsidRPr="00417BEC">
              <w:rPr>
                <w:rFonts w:eastAsia="宋体"/>
                <w:sz w:val="21"/>
                <w:szCs w:val="21"/>
              </w:rPr>
              <w:t>NY/T 525-2021</w:t>
            </w:r>
          </w:p>
        </w:tc>
      </w:tr>
      <w:tr w:rsidR="0027074B" w:rsidRPr="00417BEC">
        <w:trPr>
          <w:trHeight w:val="616"/>
        </w:trPr>
        <w:tc>
          <w:tcPr>
            <w:tcW w:w="1498"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粪大肠菌群数（</w:t>
            </w:r>
            <w:proofErr w:type="gramStart"/>
            <w:r w:rsidRPr="00417BEC">
              <w:rPr>
                <w:rFonts w:eastAsia="宋体"/>
                <w:sz w:val="21"/>
                <w:szCs w:val="21"/>
              </w:rPr>
              <w:t>个</w:t>
            </w:r>
            <w:proofErr w:type="gramEnd"/>
            <w:r w:rsidRPr="00417BEC">
              <w:rPr>
                <w:rFonts w:eastAsia="宋体"/>
                <w:sz w:val="21"/>
                <w:szCs w:val="21"/>
              </w:rPr>
              <w:t>·g</w:t>
            </w:r>
            <w:r w:rsidRPr="00417BEC">
              <w:rPr>
                <w:rFonts w:eastAsia="宋体"/>
                <w:sz w:val="21"/>
                <w:szCs w:val="21"/>
                <w:vertAlign w:val="superscript"/>
              </w:rPr>
              <w:t>-1</w:t>
            </w:r>
            <w:r w:rsidRPr="00417BEC">
              <w:rPr>
                <w:rFonts w:eastAsia="宋体"/>
                <w:sz w:val="21"/>
                <w:szCs w:val="21"/>
              </w:rPr>
              <w:t>）</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460</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w:t>
            </w:r>
          </w:p>
        </w:tc>
        <w:tc>
          <w:tcPr>
            <w:tcW w:w="605"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10</w:t>
            </w:r>
          </w:p>
        </w:tc>
        <w:tc>
          <w:tcPr>
            <w:tcW w:w="757" w:type="pct"/>
            <w:tcBorders>
              <w:top w:val="single" w:sz="4" w:space="0" w:color="auto"/>
              <w:left w:val="single" w:sz="4" w:space="0" w:color="auto"/>
              <w:bottom w:val="single" w:sz="4" w:space="0" w:color="auto"/>
              <w:right w:val="single" w:sz="4" w:space="0" w:color="auto"/>
            </w:tcBorders>
            <w:vAlign w:val="center"/>
          </w:tcPr>
          <w:p w:rsidR="0027074B" w:rsidRPr="00417BEC" w:rsidRDefault="004B23C3" w:rsidP="00417BEC">
            <w:pPr>
              <w:spacing w:line="240" w:lineRule="auto"/>
              <w:ind w:firstLineChars="0" w:firstLine="0"/>
              <w:jc w:val="center"/>
              <w:rPr>
                <w:rFonts w:eastAsia="宋体"/>
                <w:sz w:val="21"/>
                <w:szCs w:val="21"/>
              </w:rPr>
            </w:pPr>
            <w:r w:rsidRPr="00417BEC">
              <w:rPr>
                <w:rFonts w:eastAsia="宋体"/>
                <w:sz w:val="21"/>
                <w:szCs w:val="21"/>
              </w:rPr>
              <w:t>≤ 100</w:t>
            </w:r>
          </w:p>
        </w:tc>
        <w:tc>
          <w:tcPr>
            <w:tcW w:w="930" w:type="pct"/>
            <w:vMerge/>
            <w:tcBorders>
              <w:top w:val="single" w:sz="4" w:space="0" w:color="auto"/>
              <w:left w:val="single" w:sz="4" w:space="0" w:color="auto"/>
              <w:bottom w:val="single" w:sz="4" w:space="0" w:color="auto"/>
              <w:right w:val="single" w:sz="4" w:space="0" w:color="auto"/>
            </w:tcBorders>
            <w:vAlign w:val="center"/>
          </w:tcPr>
          <w:p w:rsidR="0027074B" w:rsidRPr="00417BEC" w:rsidRDefault="0027074B">
            <w:pPr>
              <w:ind w:firstLineChars="0" w:firstLine="0"/>
              <w:jc w:val="center"/>
              <w:rPr>
                <w:rFonts w:eastAsia="宋体"/>
                <w:sz w:val="21"/>
                <w:szCs w:val="21"/>
              </w:rPr>
            </w:pPr>
          </w:p>
        </w:tc>
      </w:tr>
    </w:tbl>
    <w:p w:rsidR="0027074B" w:rsidRDefault="004B23C3">
      <w:pPr>
        <w:pStyle w:val="13"/>
        <w:spacing w:beforeLines="50" w:before="156"/>
        <w:ind w:firstLineChars="0" w:firstLine="0"/>
        <w:jc w:val="center"/>
        <w:rPr>
          <w:color w:val="auto"/>
          <w:szCs w:val="28"/>
        </w:rPr>
      </w:pPr>
      <w:r>
        <w:rPr>
          <w:noProof/>
          <w:szCs w:val="28"/>
        </w:rPr>
        <w:drawing>
          <wp:inline distT="0" distB="0" distL="0" distR="0">
            <wp:extent cx="4651375" cy="3566795"/>
            <wp:effectExtent l="0" t="0" r="12065" b="14605"/>
            <wp:docPr id="6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5"/>
                    <pic:cNvPicPr>
                      <a:picLocks noChangeAspect="1"/>
                    </pic:cNvPicPr>
                  </pic:nvPicPr>
                  <pic:blipFill>
                    <a:blip r:embed="rId25"/>
                    <a:srcRect/>
                    <a:stretch>
                      <a:fillRect/>
                    </a:stretch>
                  </pic:blipFill>
                  <pic:spPr>
                    <a:xfrm>
                      <a:off x="0" y="0"/>
                      <a:ext cx="4651375" cy="3566795"/>
                    </a:xfrm>
                    <a:prstGeom prst="rect">
                      <a:avLst/>
                    </a:prstGeom>
                    <a:ln>
                      <a:noFill/>
                    </a:ln>
                  </pic:spPr>
                </pic:pic>
              </a:graphicData>
            </a:graphic>
          </wp:inline>
        </w:drawing>
      </w:r>
    </w:p>
    <w:p w:rsidR="0027074B" w:rsidRDefault="004B23C3">
      <w:pPr>
        <w:pStyle w:val="af6"/>
        <w:rPr>
          <w:b/>
          <w:bCs/>
          <w:szCs w:val="28"/>
        </w:rPr>
      </w:pPr>
      <w:r>
        <w:t>图</w:t>
      </w:r>
      <w:r>
        <w:t>18</w:t>
      </w:r>
      <w:r w:rsidR="00296043">
        <w:t xml:space="preserve"> </w:t>
      </w:r>
      <w:r>
        <w:t>不同堆高对覆膜堆肥温度（</w:t>
      </w:r>
      <w:r>
        <w:t>a</w:t>
      </w:r>
      <w:r>
        <w:t>）、</w:t>
      </w:r>
      <w:r>
        <w:t>GI</w:t>
      </w:r>
      <w:r>
        <w:t>（</w:t>
      </w:r>
      <w:r>
        <w:t>b</w:t>
      </w:r>
      <w:r>
        <w:t>）、体积减量率（</w:t>
      </w:r>
      <w:r>
        <w:t>c</w:t>
      </w:r>
      <w:r>
        <w:t>）和减重率（</w:t>
      </w:r>
      <w:r>
        <w:t>d</w:t>
      </w:r>
      <w:r>
        <w:t>）的影响</w:t>
      </w:r>
    </w:p>
    <w:p w:rsidR="00417BEC" w:rsidRDefault="00417BEC">
      <w:pPr>
        <w:pStyle w:val="13"/>
        <w:ind w:firstLine="562"/>
        <w:rPr>
          <w:b/>
          <w:bCs/>
          <w:color w:val="auto"/>
          <w:szCs w:val="28"/>
        </w:rPr>
      </w:pPr>
    </w:p>
    <w:p w:rsidR="0027074B" w:rsidRDefault="004B23C3">
      <w:pPr>
        <w:pStyle w:val="13"/>
        <w:ind w:firstLine="562"/>
      </w:pPr>
      <w:r>
        <w:rPr>
          <w:b/>
          <w:bCs/>
          <w:color w:val="auto"/>
          <w:szCs w:val="28"/>
        </w:rPr>
        <w:lastRenderedPageBreak/>
        <w:t xml:space="preserve">3. </w:t>
      </w:r>
      <w:r>
        <w:rPr>
          <w:b/>
          <w:bCs/>
          <w:color w:val="auto"/>
          <w:szCs w:val="28"/>
        </w:rPr>
        <w:t>开展了全国范围覆膜堆肥技术应用情况调研</w:t>
      </w:r>
    </w:p>
    <w:p w:rsidR="0027074B" w:rsidRDefault="00F062B6">
      <w:pPr>
        <w:ind w:firstLine="562"/>
        <w:rPr>
          <w:rFonts w:eastAsia="宋体"/>
          <w:b/>
          <w:bCs/>
          <w:sz w:val="28"/>
          <w:szCs w:val="28"/>
        </w:rPr>
      </w:pPr>
      <w:r>
        <w:rPr>
          <w:rFonts w:eastAsia="宋体" w:hint="eastAsia"/>
          <w:b/>
          <w:bCs/>
          <w:sz w:val="28"/>
          <w:szCs w:val="28"/>
        </w:rPr>
        <w:t>（</w:t>
      </w:r>
      <w:r>
        <w:rPr>
          <w:rFonts w:eastAsia="宋体" w:hint="eastAsia"/>
          <w:b/>
          <w:bCs/>
          <w:sz w:val="28"/>
          <w:szCs w:val="28"/>
        </w:rPr>
        <w:t>1</w:t>
      </w:r>
      <w:r>
        <w:rPr>
          <w:rFonts w:eastAsia="宋体" w:hint="eastAsia"/>
          <w:b/>
          <w:bCs/>
          <w:sz w:val="28"/>
          <w:szCs w:val="28"/>
        </w:rPr>
        <w:t>）</w:t>
      </w:r>
      <w:r w:rsidR="004B23C3">
        <w:rPr>
          <w:rFonts w:eastAsia="宋体"/>
          <w:b/>
          <w:bCs/>
          <w:sz w:val="28"/>
          <w:szCs w:val="28"/>
        </w:rPr>
        <w:t>明确了全国范围内辅料可用性，为本文件技术参数提供理论依据</w:t>
      </w:r>
    </w:p>
    <w:p w:rsidR="0027074B" w:rsidRDefault="004B23C3">
      <w:pPr>
        <w:ind w:firstLine="560"/>
        <w:rPr>
          <w:rFonts w:eastAsia="宋体"/>
          <w:sz w:val="28"/>
          <w:szCs w:val="28"/>
        </w:rPr>
      </w:pPr>
      <w:r>
        <w:rPr>
          <w:rFonts w:eastAsia="宋体"/>
          <w:sz w:val="28"/>
          <w:szCs w:val="28"/>
        </w:rPr>
        <w:t>编制单位调研取证了全国各个典型气候区域辅料特性，探明了各种辅料的性质差异，例如玉米秸秆、甘蔗渣、园林废弃物有机质含量较高，烟末总氮含量较高，且玉米秸秆、甘蔗渣、烟末等具有合适的</w:t>
      </w:r>
      <w:r>
        <w:rPr>
          <w:rFonts w:eastAsia="宋体"/>
          <w:sz w:val="28"/>
          <w:szCs w:val="28"/>
        </w:rPr>
        <w:t>C/N</w:t>
      </w:r>
      <w:r>
        <w:rPr>
          <w:rFonts w:eastAsia="宋体"/>
          <w:sz w:val="28"/>
          <w:szCs w:val="28"/>
        </w:rPr>
        <w:t>。在此基础上，明确了辅料种类和添加量显著影响了</w:t>
      </w:r>
      <w:r>
        <w:rPr>
          <w:rFonts w:eastAsia="宋体" w:hint="eastAsia"/>
          <w:sz w:val="28"/>
          <w:szCs w:val="28"/>
        </w:rPr>
        <w:t>覆膜堆肥</w:t>
      </w:r>
      <w:r>
        <w:rPr>
          <w:rFonts w:eastAsia="宋体"/>
          <w:sz w:val="28"/>
          <w:szCs w:val="28"/>
        </w:rPr>
        <w:t>过程的含水率和产品腐熟度，验证了本文件对辅料种类、含水率的规定。监测了多个区域覆膜堆肥工程，</w:t>
      </w:r>
      <w:proofErr w:type="gramStart"/>
      <w:r>
        <w:rPr>
          <w:rFonts w:eastAsia="宋体"/>
          <w:sz w:val="28"/>
          <w:szCs w:val="28"/>
        </w:rPr>
        <w:t>基于堆体性质</w:t>
      </w:r>
      <w:proofErr w:type="gramEnd"/>
      <w:r>
        <w:rPr>
          <w:rFonts w:eastAsia="宋体"/>
          <w:sz w:val="28"/>
          <w:szCs w:val="28"/>
        </w:rPr>
        <w:t>分析与氧气动力模型的构建，探明了氧气扩散</w:t>
      </w:r>
      <w:proofErr w:type="gramStart"/>
      <w:r>
        <w:rPr>
          <w:rFonts w:eastAsia="宋体"/>
          <w:sz w:val="28"/>
          <w:szCs w:val="28"/>
        </w:rPr>
        <w:t>特征与堆体温</w:t>
      </w:r>
      <w:proofErr w:type="gramEnd"/>
      <w:r>
        <w:rPr>
          <w:rFonts w:eastAsia="宋体"/>
          <w:sz w:val="28"/>
          <w:szCs w:val="28"/>
        </w:rPr>
        <w:t>度的关系，明确了确保氧气扩散是堆体温度上升的关键。为确保本文件各项参数设置合理、规范、具备实际意义，对工程验证过程多项物理化学参数进行相关性分析，并重点关注病原菌（无害化）与种子发芽指数（腐熟度），证实了病原菌与含水率呈显著正相关，与温度呈现显著负相关。种子发芽指率与含水率、挥发性固体、</w:t>
      </w:r>
      <w:proofErr w:type="gramStart"/>
      <w:r>
        <w:rPr>
          <w:rFonts w:eastAsia="宋体"/>
          <w:sz w:val="28"/>
          <w:szCs w:val="28"/>
        </w:rPr>
        <w:t>氨态氮</w:t>
      </w:r>
      <w:proofErr w:type="gramEnd"/>
      <w:r>
        <w:rPr>
          <w:rFonts w:eastAsia="宋体"/>
          <w:sz w:val="28"/>
          <w:szCs w:val="28"/>
        </w:rPr>
        <w:t>含量呈显著负相关；在保障孔隙率供气体传输前提下，含水率调控是覆膜堆肥启动的关键，保证腐熟度提升和无害化处理效果。</w:t>
      </w:r>
    </w:p>
    <w:p w:rsidR="0027074B" w:rsidRDefault="004B23C3">
      <w:pPr>
        <w:ind w:firstLineChars="0" w:firstLine="0"/>
        <w:jc w:val="center"/>
        <w:rPr>
          <w:rFonts w:eastAsia="宋体"/>
          <w:sz w:val="28"/>
          <w:szCs w:val="28"/>
        </w:rPr>
      </w:pPr>
      <w:r>
        <w:rPr>
          <w:rFonts w:eastAsia="宋体"/>
          <w:noProof/>
          <w:sz w:val="28"/>
          <w:szCs w:val="28"/>
        </w:rPr>
        <w:drawing>
          <wp:inline distT="0" distB="0" distL="114300" distR="114300">
            <wp:extent cx="4902835" cy="2181860"/>
            <wp:effectExtent l="0" t="0" r="4445" b="1270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6"/>
                    <a:stretch>
                      <a:fillRect/>
                    </a:stretch>
                  </pic:blipFill>
                  <pic:spPr>
                    <a:xfrm>
                      <a:off x="0" y="0"/>
                      <a:ext cx="4902835" cy="2181860"/>
                    </a:xfrm>
                    <a:prstGeom prst="rect">
                      <a:avLst/>
                    </a:prstGeom>
                    <a:noFill/>
                    <a:ln>
                      <a:noFill/>
                    </a:ln>
                  </pic:spPr>
                </pic:pic>
              </a:graphicData>
            </a:graphic>
          </wp:inline>
        </w:drawing>
      </w:r>
    </w:p>
    <w:p w:rsidR="0027074B" w:rsidRDefault="004B23C3">
      <w:pPr>
        <w:pStyle w:val="af6"/>
      </w:pPr>
      <w:r>
        <w:t>图</w:t>
      </w:r>
      <w:r>
        <w:t xml:space="preserve">19 </w:t>
      </w:r>
      <w:r>
        <w:t>全国可利用辅料种类及其性质调研分析</w:t>
      </w:r>
    </w:p>
    <w:p w:rsidR="0027074B" w:rsidRDefault="004B23C3">
      <w:pPr>
        <w:ind w:firstLineChars="0" w:firstLine="0"/>
        <w:rPr>
          <w:rFonts w:eastAsia="宋体"/>
          <w:sz w:val="28"/>
          <w:szCs w:val="28"/>
        </w:rPr>
      </w:pPr>
      <w:r>
        <w:rPr>
          <w:rFonts w:eastAsia="宋体"/>
          <w:noProof/>
          <w:sz w:val="28"/>
          <w:szCs w:val="28"/>
        </w:rPr>
        <w:lastRenderedPageBreak/>
        <w:drawing>
          <wp:inline distT="0" distB="0" distL="114300" distR="114300">
            <wp:extent cx="5273675" cy="2048510"/>
            <wp:effectExtent l="0" t="0" r="14605" b="889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27"/>
                    <a:stretch>
                      <a:fillRect/>
                    </a:stretch>
                  </pic:blipFill>
                  <pic:spPr>
                    <a:xfrm>
                      <a:off x="0" y="0"/>
                      <a:ext cx="5273675" cy="2048510"/>
                    </a:xfrm>
                    <a:prstGeom prst="rect">
                      <a:avLst/>
                    </a:prstGeom>
                    <a:noFill/>
                    <a:ln>
                      <a:noFill/>
                    </a:ln>
                  </pic:spPr>
                </pic:pic>
              </a:graphicData>
            </a:graphic>
          </wp:inline>
        </w:drawing>
      </w:r>
    </w:p>
    <w:p w:rsidR="0027074B" w:rsidRDefault="004B23C3">
      <w:pPr>
        <w:pStyle w:val="af6"/>
      </w:pPr>
      <w:r>
        <w:t>图</w:t>
      </w:r>
      <w:r>
        <w:t xml:space="preserve">20 </w:t>
      </w:r>
      <w:r>
        <w:t>覆膜堆肥过程</w:t>
      </w:r>
      <w:proofErr w:type="gramStart"/>
      <w:r>
        <w:t>堆体各项</w:t>
      </w:r>
      <w:proofErr w:type="gramEnd"/>
      <w:r>
        <w:t>理化性质重要性</w:t>
      </w:r>
    </w:p>
    <w:p w:rsidR="0027074B" w:rsidRDefault="00F062B6" w:rsidP="00844FE2">
      <w:pPr>
        <w:spacing w:before="100" w:beforeAutospacing="1"/>
        <w:ind w:firstLine="562"/>
        <w:rPr>
          <w:rFonts w:eastAsia="宋体"/>
          <w:b/>
          <w:bCs/>
          <w:sz w:val="28"/>
          <w:szCs w:val="28"/>
        </w:rPr>
      </w:pPr>
      <w:r>
        <w:rPr>
          <w:rFonts w:eastAsia="宋体" w:hint="eastAsia"/>
          <w:b/>
          <w:bCs/>
          <w:sz w:val="28"/>
          <w:szCs w:val="28"/>
        </w:rPr>
        <w:t>（</w:t>
      </w:r>
      <w:r>
        <w:rPr>
          <w:rFonts w:eastAsia="宋体" w:hint="eastAsia"/>
          <w:b/>
          <w:bCs/>
          <w:sz w:val="28"/>
          <w:szCs w:val="28"/>
        </w:rPr>
        <w:t>2</w:t>
      </w:r>
      <w:r>
        <w:rPr>
          <w:rFonts w:eastAsia="宋体" w:hint="eastAsia"/>
          <w:b/>
          <w:bCs/>
          <w:sz w:val="28"/>
          <w:szCs w:val="28"/>
        </w:rPr>
        <w:t>）</w:t>
      </w:r>
      <w:r w:rsidR="004B23C3">
        <w:rPr>
          <w:rFonts w:eastAsia="宋体"/>
          <w:b/>
          <w:bCs/>
          <w:sz w:val="28"/>
          <w:szCs w:val="28"/>
        </w:rPr>
        <w:t>调研了多个采取本标准参数覆膜堆肥工艺的养殖场，进一步佐证了本标准的参数。</w:t>
      </w:r>
    </w:p>
    <w:p w:rsidR="0027074B" w:rsidRDefault="004B23C3">
      <w:pPr>
        <w:ind w:firstLine="562"/>
        <w:rPr>
          <w:rFonts w:eastAsia="宋体"/>
          <w:b/>
          <w:bCs/>
          <w:sz w:val="28"/>
          <w:szCs w:val="28"/>
        </w:rPr>
      </w:pPr>
      <w:r>
        <w:rPr>
          <w:rFonts w:eastAsia="宋体"/>
          <w:b/>
          <w:bCs/>
          <w:sz w:val="28"/>
          <w:szCs w:val="28"/>
        </w:rPr>
        <w:t>案例</w:t>
      </w:r>
      <w:proofErr w:type="gramStart"/>
      <w:r>
        <w:rPr>
          <w:rFonts w:eastAsia="宋体"/>
          <w:b/>
          <w:bCs/>
          <w:sz w:val="28"/>
          <w:szCs w:val="28"/>
        </w:rPr>
        <w:t>一</w:t>
      </w:r>
      <w:proofErr w:type="gramEnd"/>
      <w:r>
        <w:rPr>
          <w:rFonts w:eastAsia="宋体"/>
          <w:b/>
          <w:bCs/>
          <w:sz w:val="28"/>
          <w:szCs w:val="28"/>
        </w:rPr>
        <w:t>：宁夏</w:t>
      </w:r>
      <w:proofErr w:type="gramStart"/>
      <w:r>
        <w:rPr>
          <w:rFonts w:eastAsia="宋体"/>
          <w:b/>
          <w:bCs/>
          <w:sz w:val="28"/>
          <w:szCs w:val="28"/>
        </w:rPr>
        <w:t>中卫市</w:t>
      </w:r>
      <w:proofErr w:type="gramEnd"/>
      <w:r>
        <w:rPr>
          <w:rFonts w:eastAsia="宋体"/>
          <w:b/>
          <w:bCs/>
          <w:sz w:val="28"/>
          <w:szCs w:val="28"/>
        </w:rPr>
        <w:t>塞外奶牛养殖农民专业合作社牛粪覆膜堆肥工艺</w:t>
      </w:r>
    </w:p>
    <w:p w:rsidR="0027074B" w:rsidRDefault="004B23C3">
      <w:pPr>
        <w:pStyle w:val="af6"/>
        <w:ind w:firstLineChars="200" w:firstLine="560"/>
        <w:jc w:val="both"/>
        <w:rPr>
          <w:rFonts w:eastAsia="宋体"/>
          <w:sz w:val="28"/>
          <w:szCs w:val="28"/>
        </w:rPr>
      </w:pPr>
      <w:r>
        <w:rPr>
          <w:rFonts w:eastAsia="宋体"/>
          <w:sz w:val="28"/>
          <w:szCs w:val="28"/>
        </w:rPr>
        <w:t>该合作社位于宁夏回族自治区中卫市，主营奶牛养殖，此前采用的先螺旋挤压后脱水露天晾晒方式受市场需求影响大、粪污储存质量不稳定，因此选择</w:t>
      </w:r>
      <w:r>
        <w:rPr>
          <w:rFonts w:eastAsia="宋体" w:hint="eastAsia"/>
          <w:sz w:val="28"/>
          <w:szCs w:val="28"/>
        </w:rPr>
        <w:t>覆膜堆肥</w:t>
      </w:r>
      <w:r>
        <w:rPr>
          <w:rFonts w:eastAsia="宋体"/>
          <w:sz w:val="28"/>
          <w:szCs w:val="28"/>
        </w:rPr>
        <w:t>工艺优化处理。其</w:t>
      </w:r>
      <w:r>
        <w:rPr>
          <w:rFonts w:eastAsia="宋体" w:hint="eastAsia"/>
          <w:sz w:val="28"/>
          <w:szCs w:val="28"/>
        </w:rPr>
        <w:t>堆肥</w:t>
      </w:r>
      <w:r>
        <w:rPr>
          <w:rFonts w:eastAsia="宋体"/>
          <w:sz w:val="28"/>
          <w:szCs w:val="28"/>
        </w:rPr>
        <w:t>工艺为：以初始含水率约</w:t>
      </w:r>
      <w:r>
        <w:rPr>
          <w:rFonts w:eastAsia="宋体"/>
          <w:sz w:val="28"/>
          <w:szCs w:val="28"/>
        </w:rPr>
        <w:t xml:space="preserve"> 60% </w:t>
      </w:r>
      <w:r>
        <w:rPr>
          <w:rFonts w:eastAsia="宋体"/>
          <w:sz w:val="28"/>
          <w:szCs w:val="28"/>
        </w:rPr>
        <w:t>的奶牛粪为原料，包括向奶牛粪中添加</w:t>
      </w:r>
      <w:r>
        <w:rPr>
          <w:rFonts w:eastAsia="宋体"/>
          <w:sz w:val="28"/>
          <w:szCs w:val="28"/>
        </w:rPr>
        <w:t xml:space="preserve"> 0.15%</w:t>
      </w:r>
      <w:r>
        <w:rPr>
          <w:rFonts w:eastAsia="宋体"/>
          <w:sz w:val="28"/>
          <w:szCs w:val="28"/>
        </w:rPr>
        <w:t>、</w:t>
      </w:r>
      <w:r>
        <w:rPr>
          <w:rFonts w:eastAsia="宋体"/>
          <w:sz w:val="28"/>
          <w:szCs w:val="28"/>
        </w:rPr>
        <w:t xml:space="preserve">0.27% </w:t>
      </w:r>
      <w:r>
        <w:rPr>
          <w:rFonts w:eastAsia="宋体"/>
          <w:sz w:val="28"/>
          <w:szCs w:val="28"/>
        </w:rPr>
        <w:t>（干重）菌剂和添加</w:t>
      </w:r>
      <w:r>
        <w:rPr>
          <w:rFonts w:eastAsia="宋体"/>
          <w:sz w:val="28"/>
          <w:szCs w:val="28"/>
        </w:rPr>
        <w:t xml:space="preserve"> 10% </w:t>
      </w:r>
      <w:r>
        <w:rPr>
          <w:rFonts w:eastAsia="宋体"/>
          <w:sz w:val="28"/>
          <w:szCs w:val="28"/>
        </w:rPr>
        <w:t>的腐熟物料（图</w:t>
      </w:r>
      <w:r>
        <w:rPr>
          <w:rFonts w:eastAsia="宋体"/>
          <w:sz w:val="28"/>
          <w:szCs w:val="28"/>
        </w:rPr>
        <w:t>21</w:t>
      </w:r>
      <w:r>
        <w:rPr>
          <w:rFonts w:eastAsia="宋体"/>
          <w:sz w:val="28"/>
          <w:szCs w:val="28"/>
        </w:rPr>
        <w:t>），堆置时长约</w:t>
      </w:r>
      <w:r>
        <w:rPr>
          <w:rFonts w:eastAsia="宋体"/>
          <w:sz w:val="28"/>
          <w:szCs w:val="28"/>
        </w:rPr>
        <w:t>30 d</w:t>
      </w:r>
      <w:r>
        <w:rPr>
          <w:rFonts w:eastAsia="宋体"/>
          <w:sz w:val="28"/>
          <w:szCs w:val="28"/>
        </w:rPr>
        <w:t>，后堆置成</w:t>
      </w:r>
      <w:r>
        <w:rPr>
          <w:rFonts w:eastAsia="宋体"/>
          <w:sz w:val="28"/>
          <w:szCs w:val="28"/>
        </w:rPr>
        <w:t>15m× 3m× 1.2m</w:t>
      </w:r>
      <w:r>
        <w:rPr>
          <w:rFonts w:eastAsia="宋体"/>
          <w:sz w:val="28"/>
          <w:szCs w:val="28"/>
        </w:rPr>
        <w:t>，进行覆膜堆肥。相较于原工艺，各</w:t>
      </w:r>
      <w:r>
        <w:rPr>
          <w:rFonts w:eastAsia="宋体" w:hint="eastAsia"/>
          <w:sz w:val="28"/>
          <w:szCs w:val="28"/>
        </w:rPr>
        <w:t>覆膜堆肥</w:t>
      </w:r>
      <w:r>
        <w:rPr>
          <w:rFonts w:eastAsia="宋体"/>
          <w:sz w:val="28"/>
          <w:szCs w:val="28"/>
        </w:rPr>
        <w:t>工艺堆置至第</w:t>
      </w:r>
      <w:r>
        <w:rPr>
          <w:rFonts w:eastAsia="宋体"/>
          <w:sz w:val="28"/>
          <w:szCs w:val="28"/>
        </w:rPr>
        <w:t xml:space="preserve"> 20 d</w:t>
      </w:r>
      <w:r>
        <w:rPr>
          <w:rFonts w:eastAsia="宋体"/>
          <w:sz w:val="28"/>
          <w:szCs w:val="28"/>
        </w:rPr>
        <w:t>时种子发芽指数均超过</w:t>
      </w:r>
      <w:r>
        <w:rPr>
          <w:rFonts w:eastAsia="宋体"/>
          <w:sz w:val="28"/>
          <w:szCs w:val="28"/>
        </w:rPr>
        <w:t xml:space="preserve"> 100%</w:t>
      </w:r>
      <w:r>
        <w:rPr>
          <w:rFonts w:eastAsia="宋体"/>
          <w:sz w:val="28"/>
          <w:szCs w:val="28"/>
        </w:rPr>
        <w:t>（图</w:t>
      </w:r>
      <w:r>
        <w:rPr>
          <w:rFonts w:eastAsia="宋体"/>
          <w:sz w:val="28"/>
          <w:szCs w:val="28"/>
        </w:rPr>
        <w:t>22</w:t>
      </w:r>
      <w:r>
        <w:rPr>
          <w:rFonts w:eastAsia="宋体"/>
          <w:sz w:val="28"/>
          <w:szCs w:val="28"/>
        </w:rPr>
        <w:t>），实现堆肥腐熟度达标，其中添加菌剂的工艺腐熟效果更优，同时奶牛粪中的有机质与养分也得到了有效保留。</w:t>
      </w:r>
    </w:p>
    <w:p w:rsidR="00844FE2" w:rsidRDefault="00844FE2">
      <w:pPr>
        <w:pStyle w:val="af6"/>
        <w:ind w:firstLineChars="200" w:firstLine="480"/>
        <w:jc w:val="both"/>
        <w:rPr>
          <w:rFonts w:hint="eastAsia"/>
          <w:szCs w:val="24"/>
        </w:rPr>
      </w:pPr>
    </w:p>
    <w:p w:rsidR="0027074B" w:rsidRDefault="004B23C3">
      <w:pPr>
        <w:pStyle w:val="af6"/>
        <w:rPr>
          <w:szCs w:val="24"/>
        </w:rPr>
      </w:pPr>
      <w:r>
        <w:rPr>
          <w:noProof/>
        </w:rPr>
        <w:lastRenderedPageBreak/>
        <w:drawing>
          <wp:inline distT="0" distB="0" distL="114300" distR="114300">
            <wp:extent cx="5250815" cy="1635760"/>
            <wp:effectExtent l="0" t="0" r="6985" b="1016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8"/>
                    <a:stretch>
                      <a:fillRect/>
                    </a:stretch>
                  </pic:blipFill>
                  <pic:spPr>
                    <a:xfrm>
                      <a:off x="0" y="0"/>
                      <a:ext cx="5250815" cy="1635760"/>
                    </a:xfrm>
                    <a:prstGeom prst="rect">
                      <a:avLst/>
                    </a:prstGeom>
                    <a:noFill/>
                    <a:ln>
                      <a:noFill/>
                    </a:ln>
                  </pic:spPr>
                </pic:pic>
              </a:graphicData>
            </a:graphic>
          </wp:inline>
        </w:drawing>
      </w:r>
    </w:p>
    <w:p w:rsidR="0027074B" w:rsidRDefault="004B23C3">
      <w:pPr>
        <w:pStyle w:val="af6"/>
        <w:rPr>
          <w:szCs w:val="24"/>
        </w:rPr>
      </w:pPr>
      <w:r>
        <w:rPr>
          <w:szCs w:val="24"/>
        </w:rPr>
        <w:t>图</w:t>
      </w:r>
      <w:r>
        <w:rPr>
          <w:szCs w:val="24"/>
        </w:rPr>
        <w:t xml:space="preserve">21 </w:t>
      </w:r>
      <w:r>
        <w:rPr>
          <w:szCs w:val="24"/>
        </w:rPr>
        <w:t>塞外奶牛养殖农民专业合作社堆肥现场</w:t>
      </w:r>
    </w:p>
    <w:p w:rsidR="00844FE2" w:rsidRDefault="00844FE2">
      <w:pPr>
        <w:pStyle w:val="af6"/>
        <w:rPr>
          <w:rFonts w:hint="eastAsia"/>
          <w:szCs w:val="24"/>
        </w:rPr>
      </w:pPr>
    </w:p>
    <w:p w:rsidR="0027074B" w:rsidRDefault="004B23C3">
      <w:pPr>
        <w:pStyle w:val="af6"/>
        <w:jc w:val="both"/>
        <w:rPr>
          <w:rFonts w:eastAsia="宋体"/>
          <w:sz w:val="28"/>
          <w:szCs w:val="28"/>
        </w:rPr>
      </w:pPr>
      <w:r>
        <w:rPr>
          <w:rFonts w:eastAsia="宋体"/>
          <w:sz w:val="28"/>
          <w:szCs w:val="28"/>
        </w:rPr>
        <w:object w:dxaOrig="8294" w:dyaOrig="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5pt;height:131.5pt" o:ole="">
            <v:imagedata r:id="rId29" o:title=""/>
          </v:shape>
          <o:OLEObject Type="Embed" ProgID="Origin95.Graph" ShapeID="_x0000_i1025" DrawAspect="Content" ObjectID="_1836714669" r:id="rId30"/>
        </w:object>
      </w:r>
    </w:p>
    <w:p w:rsidR="0027074B" w:rsidRDefault="004B23C3">
      <w:pPr>
        <w:ind w:firstLine="480"/>
        <w:jc w:val="center"/>
        <w:rPr>
          <w:rFonts w:eastAsia="黑体"/>
        </w:rPr>
      </w:pPr>
      <w:r>
        <w:rPr>
          <w:rFonts w:eastAsia="黑体"/>
        </w:rPr>
        <w:t>图</w:t>
      </w:r>
      <w:r>
        <w:rPr>
          <w:rFonts w:eastAsia="黑体"/>
        </w:rPr>
        <w:t xml:space="preserve">22 </w:t>
      </w:r>
      <w:r>
        <w:rPr>
          <w:rFonts w:eastAsia="黑体"/>
        </w:rPr>
        <w:t>覆膜堆肥性能指标变化</w:t>
      </w:r>
    </w:p>
    <w:p w:rsidR="0027074B" w:rsidRDefault="004B23C3" w:rsidP="00844FE2">
      <w:pPr>
        <w:spacing w:before="100" w:beforeAutospacing="1"/>
        <w:ind w:firstLine="562"/>
        <w:rPr>
          <w:rFonts w:eastAsia="宋体"/>
          <w:b/>
          <w:bCs/>
          <w:sz w:val="28"/>
          <w:szCs w:val="28"/>
        </w:rPr>
      </w:pPr>
      <w:bookmarkStart w:id="28" w:name="_Toc203082625"/>
      <w:r>
        <w:rPr>
          <w:rFonts w:eastAsia="宋体"/>
          <w:b/>
          <w:bCs/>
          <w:sz w:val="28"/>
          <w:szCs w:val="28"/>
        </w:rPr>
        <w:t>案例二：宁夏西吉县兴隆镇西吉肉牛场牛粪覆膜堆肥工艺</w:t>
      </w:r>
    </w:p>
    <w:p w:rsidR="0027074B" w:rsidRDefault="004B23C3">
      <w:pPr>
        <w:pStyle w:val="af6"/>
        <w:ind w:firstLineChars="200" w:firstLine="560"/>
        <w:jc w:val="both"/>
        <w:rPr>
          <w:rFonts w:eastAsia="宋体"/>
          <w:sz w:val="28"/>
          <w:szCs w:val="28"/>
        </w:rPr>
      </w:pPr>
      <w:r>
        <w:rPr>
          <w:rFonts w:eastAsia="宋体"/>
          <w:sz w:val="28"/>
          <w:szCs w:val="28"/>
        </w:rPr>
        <w:t>该养牛场位于宁夏回族自治区固原市西吉县兴隆镇，养殖肉牛</w:t>
      </w:r>
      <w:r>
        <w:rPr>
          <w:rFonts w:eastAsia="宋体"/>
          <w:sz w:val="28"/>
          <w:szCs w:val="28"/>
        </w:rPr>
        <w:t xml:space="preserve"> 270-280 </w:t>
      </w:r>
      <w:r>
        <w:rPr>
          <w:rFonts w:eastAsia="宋体"/>
          <w:sz w:val="28"/>
          <w:szCs w:val="28"/>
        </w:rPr>
        <w:t>头，因原有粪污处理方式效率低、资源化效果差，</w:t>
      </w:r>
      <w:r>
        <w:rPr>
          <w:rFonts w:eastAsia="宋体" w:hint="eastAsia"/>
          <w:sz w:val="28"/>
          <w:szCs w:val="28"/>
        </w:rPr>
        <w:t>因此</w:t>
      </w:r>
      <w:r>
        <w:rPr>
          <w:rFonts w:eastAsia="宋体"/>
          <w:sz w:val="28"/>
          <w:szCs w:val="28"/>
        </w:rPr>
        <w:t>选择覆膜堆肥工艺优化处置。其覆膜堆肥工艺为：以含水率为</w:t>
      </w:r>
      <w:r>
        <w:rPr>
          <w:rFonts w:eastAsia="宋体"/>
          <w:sz w:val="28"/>
          <w:szCs w:val="28"/>
        </w:rPr>
        <w:t>68%</w:t>
      </w:r>
      <w:r>
        <w:rPr>
          <w:rFonts w:eastAsia="宋体"/>
          <w:sz w:val="28"/>
          <w:szCs w:val="28"/>
        </w:rPr>
        <w:t>肉牛粪为原料，在肉牛粪中添加</w:t>
      </w:r>
      <w:r>
        <w:rPr>
          <w:rFonts w:eastAsia="宋体"/>
          <w:sz w:val="28"/>
          <w:szCs w:val="28"/>
        </w:rPr>
        <w:t xml:space="preserve"> 10% </w:t>
      </w:r>
      <w:r>
        <w:rPr>
          <w:rFonts w:eastAsia="宋体"/>
          <w:sz w:val="28"/>
          <w:szCs w:val="28"/>
        </w:rPr>
        <w:t>糠醛渣或</w:t>
      </w:r>
      <w:r>
        <w:rPr>
          <w:rFonts w:eastAsia="宋体"/>
          <w:sz w:val="28"/>
          <w:szCs w:val="28"/>
        </w:rPr>
        <w:t>50%</w:t>
      </w:r>
      <w:r>
        <w:rPr>
          <w:rFonts w:eastAsia="宋体"/>
          <w:sz w:val="28"/>
          <w:szCs w:val="28"/>
        </w:rPr>
        <w:t>的腐熟堆肥，同时</w:t>
      </w:r>
      <w:proofErr w:type="gramStart"/>
      <w:r>
        <w:rPr>
          <w:rFonts w:eastAsia="宋体"/>
          <w:sz w:val="28"/>
          <w:szCs w:val="28"/>
        </w:rPr>
        <w:t>在堆体上</w:t>
      </w:r>
      <w:proofErr w:type="gramEnd"/>
      <w:r>
        <w:rPr>
          <w:rFonts w:eastAsia="宋体"/>
          <w:sz w:val="28"/>
          <w:szCs w:val="28"/>
        </w:rPr>
        <w:t>覆盖土层，后堆置成</w:t>
      </w:r>
      <w:r>
        <w:rPr>
          <w:rFonts w:eastAsia="宋体"/>
          <w:sz w:val="28"/>
          <w:szCs w:val="28"/>
        </w:rPr>
        <w:t>5m× 2.5m× 1m</w:t>
      </w:r>
      <w:r>
        <w:rPr>
          <w:rFonts w:eastAsia="宋体"/>
          <w:sz w:val="28"/>
          <w:szCs w:val="28"/>
        </w:rPr>
        <w:t>的</w:t>
      </w:r>
      <w:proofErr w:type="gramStart"/>
      <w:r>
        <w:rPr>
          <w:rFonts w:eastAsia="宋体"/>
          <w:sz w:val="28"/>
          <w:szCs w:val="28"/>
        </w:rPr>
        <w:t>条垛堆</w:t>
      </w:r>
      <w:proofErr w:type="gramEnd"/>
      <w:r>
        <w:rPr>
          <w:rFonts w:eastAsia="宋体"/>
          <w:sz w:val="28"/>
          <w:szCs w:val="28"/>
        </w:rPr>
        <w:t>（图</w:t>
      </w:r>
      <w:r>
        <w:rPr>
          <w:rFonts w:eastAsia="宋体"/>
          <w:sz w:val="28"/>
          <w:szCs w:val="28"/>
        </w:rPr>
        <w:t>23</w:t>
      </w:r>
      <w:r>
        <w:rPr>
          <w:rFonts w:eastAsia="宋体"/>
          <w:sz w:val="28"/>
          <w:szCs w:val="28"/>
        </w:rPr>
        <w:t>），堆置时长约</w:t>
      </w:r>
      <w:r>
        <w:rPr>
          <w:rFonts w:eastAsia="宋体"/>
          <w:sz w:val="28"/>
          <w:szCs w:val="28"/>
        </w:rPr>
        <w:t xml:space="preserve"> 30 d</w:t>
      </w:r>
      <w:r>
        <w:rPr>
          <w:rFonts w:eastAsia="宋体"/>
          <w:sz w:val="28"/>
          <w:szCs w:val="28"/>
        </w:rPr>
        <w:t>，过程中搭配翻堆机辅助翻堆。最终该工艺实现堆肥高温期稳定维持</w:t>
      </w:r>
      <w:r>
        <w:rPr>
          <w:rFonts w:eastAsia="宋体"/>
          <w:sz w:val="28"/>
          <w:szCs w:val="28"/>
        </w:rPr>
        <w:t xml:space="preserve"> 10 d</w:t>
      </w:r>
      <w:r>
        <w:rPr>
          <w:rFonts w:eastAsia="宋体"/>
          <w:sz w:val="28"/>
          <w:szCs w:val="28"/>
        </w:rPr>
        <w:t>以上，堆置至第</w:t>
      </w:r>
      <w:r>
        <w:rPr>
          <w:rFonts w:eastAsia="宋体"/>
          <w:sz w:val="28"/>
          <w:szCs w:val="28"/>
        </w:rPr>
        <w:t xml:space="preserve"> 20 d</w:t>
      </w:r>
      <w:r>
        <w:rPr>
          <w:rFonts w:eastAsia="宋体"/>
          <w:sz w:val="28"/>
          <w:szCs w:val="28"/>
        </w:rPr>
        <w:t>时种子发芽指数超过</w:t>
      </w:r>
      <w:r>
        <w:rPr>
          <w:rFonts w:eastAsia="宋体"/>
          <w:sz w:val="28"/>
          <w:szCs w:val="28"/>
        </w:rPr>
        <w:t xml:space="preserve"> 70%</w:t>
      </w:r>
      <w:r>
        <w:rPr>
          <w:rFonts w:eastAsia="宋体"/>
          <w:sz w:val="28"/>
          <w:szCs w:val="28"/>
        </w:rPr>
        <w:t>，腐熟度达标，同时覆盖土层的方式有效减少了氨气排放（图</w:t>
      </w:r>
      <w:r>
        <w:rPr>
          <w:rFonts w:eastAsia="宋体"/>
          <w:sz w:val="28"/>
          <w:szCs w:val="28"/>
        </w:rPr>
        <w:t>24</w:t>
      </w:r>
      <w:r>
        <w:rPr>
          <w:rFonts w:eastAsia="宋体"/>
          <w:sz w:val="28"/>
          <w:szCs w:val="28"/>
        </w:rPr>
        <w:t>），堆肥的腐殖化程度与养分稳定性也得到了提升。</w:t>
      </w:r>
    </w:p>
    <w:p w:rsidR="0027074B" w:rsidRDefault="004B23C3">
      <w:pPr>
        <w:pStyle w:val="af6"/>
        <w:rPr>
          <w:rFonts w:eastAsia="宋体"/>
          <w:sz w:val="28"/>
          <w:szCs w:val="28"/>
        </w:rPr>
      </w:pPr>
      <w:r>
        <w:rPr>
          <w:noProof/>
        </w:rPr>
        <w:lastRenderedPageBreak/>
        <w:drawing>
          <wp:inline distT="0" distB="0" distL="114300" distR="114300">
            <wp:extent cx="2670810" cy="3379470"/>
            <wp:effectExtent l="0" t="0" r="11430" b="3810"/>
            <wp:docPr id="2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1"/>
                    <a:stretch>
                      <a:fillRect/>
                    </a:stretch>
                  </pic:blipFill>
                  <pic:spPr>
                    <a:xfrm>
                      <a:off x="0" y="0"/>
                      <a:ext cx="2670810" cy="3379470"/>
                    </a:xfrm>
                    <a:prstGeom prst="rect">
                      <a:avLst/>
                    </a:prstGeom>
                    <a:noFill/>
                    <a:ln>
                      <a:noFill/>
                    </a:ln>
                  </pic:spPr>
                </pic:pic>
              </a:graphicData>
            </a:graphic>
          </wp:inline>
        </w:drawing>
      </w:r>
    </w:p>
    <w:p w:rsidR="0027074B" w:rsidRDefault="004B23C3">
      <w:pPr>
        <w:pStyle w:val="af6"/>
        <w:rPr>
          <w:szCs w:val="24"/>
        </w:rPr>
      </w:pPr>
      <w:r>
        <w:rPr>
          <w:szCs w:val="24"/>
        </w:rPr>
        <w:t>图</w:t>
      </w:r>
      <w:r>
        <w:rPr>
          <w:szCs w:val="24"/>
        </w:rPr>
        <w:t xml:space="preserve">23 </w:t>
      </w:r>
      <w:r>
        <w:rPr>
          <w:szCs w:val="24"/>
        </w:rPr>
        <w:t>西吉县兴隆镇西吉肉牛场堆肥现场</w:t>
      </w:r>
    </w:p>
    <w:p w:rsidR="0027074B" w:rsidRDefault="004B23C3">
      <w:pPr>
        <w:pStyle w:val="af6"/>
        <w:rPr>
          <w:rFonts w:eastAsia="宋体"/>
          <w:sz w:val="28"/>
          <w:szCs w:val="28"/>
        </w:rPr>
      </w:pPr>
      <w:r>
        <w:rPr>
          <w:rFonts w:eastAsia="宋体"/>
          <w:noProof/>
          <w:sz w:val="28"/>
          <w:szCs w:val="28"/>
        </w:rPr>
        <w:drawing>
          <wp:inline distT="0" distB="0" distL="0" distR="0">
            <wp:extent cx="4742815" cy="1816735"/>
            <wp:effectExtent l="0" t="0" r="12065" b="12065"/>
            <wp:docPr id="1456096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9648" name="图片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742815" cy="1816735"/>
                    </a:xfrm>
                    <a:prstGeom prst="rect">
                      <a:avLst/>
                    </a:prstGeom>
                    <a:noFill/>
                  </pic:spPr>
                </pic:pic>
              </a:graphicData>
            </a:graphic>
          </wp:inline>
        </w:drawing>
      </w:r>
    </w:p>
    <w:p w:rsidR="0027074B" w:rsidRDefault="004B23C3">
      <w:pPr>
        <w:ind w:firstLine="480"/>
        <w:jc w:val="center"/>
        <w:rPr>
          <w:rFonts w:eastAsia="黑体"/>
        </w:rPr>
      </w:pPr>
      <w:r>
        <w:rPr>
          <w:rFonts w:eastAsia="黑体"/>
        </w:rPr>
        <w:t>图</w:t>
      </w:r>
      <w:r>
        <w:rPr>
          <w:rFonts w:eastAsia="黑体"/>
        </w:rPr>
        <w:t xml:space="preserve">24 </w:t>
      </w:r>
      <w:r>
        <w:rPr>
          <w:rFonts w:eastAsia="黑体"/>
        </w:rPr>
        <w:t>覆膜堆肥性能指标变化</w:t>
      </w:r>
    </w:p>
    <w:p w:rsidR="0027074B" w:rsidRDefault="004B23C3" w:rsidP="00844FE2">
      <w:pPr>
        <w:spacing w:before="100" w:beforeAutospacing="1"/>
        <w:ind w:firstLine="562"/>
        <w:rPr>
          <w:rFonts w:eastAsia="宋体"/>
          <w:b/>
          <w:bCs/>
          <w:sz w:val="28"/>
          <w:szCs w:val="28"/>
        </w:rPr>
      </w:pPr>
      <w:bookmarkStart w:id="29" w:name="OLE_LINK15"/>
      <w:r>
        <w:rPr>
          <w:rFonts w:eastAsia="宋体"/>
          <w:b/>
          <w:bCs/>
          <w:sz w:val="28"/>
          <w:szCs w:val="28"/>
        </w:rPr>
        <w:t>案例三：宁夏中宁县中垦天宁牧业有限公司奶牛粪覆膜堆肥工艺</w:t>
      </w:r>
    </w:p>
    <w:p w:rsidR="0027074B" w:rsidRDefault="004B23C3">
      <w:pPr>
        <w:ind w:firstLine="560"/>
        <w:rPr>
          <w:rFonts w:eastAsia="宋体"/>
          <w:sz w:val="28"/>
          <w:szCs w:val="28"/>
        </w:rPr>
      </w:pPr>
      <w:r>
        <w:rPr>
          <w:rFonts w:eastAsia="宋体"/>
          <w:sz w:val="28"/>
          <w:szCs w:val="28"/>
        </w:rPr>
        <w:t>该公司位于宁夏回族自治区中宁县，主营奶牛养殖。为响应国家</w:t>
      </w:r>
      <w:bookmarkEnd w:id="29"/>
      <w:r>
        <w:rPr>
          <w:rFonts w:eastAsia="宋体"/>
          <w:sz w:val="28"/>
          <w:szCs w:val="28"/>
        </w:rPr>
        <w:t>绿色农业发展要求，解决畜禽粪</w:t>
      </w:r>
      <w:proofErr w:type="gramStart"/>
      <w:r>
        <w:rPr>
          <w:rFonts w:eastAsia="宋体"/>
          <w:sz w:val="28"/>
          <w:szCs w:val="28"/>
        </w:rPr>
        <w:t>污带来</w:t>
      </w:r>
      <w:proofErr w:type="gramEnd"/>
      <w:r>
        <w:rPr>
          <w:rFonts w:eastAsia="宋体"/>
          <w:sz w:val="28"/>
          <w:szCs w:val="28"/>
        </w:rPr>
        <w:t>的环境压力，实现粪污资源化利用，选择覆膜堆肥工艺进行处理。其覆膜堆肥工艺规格与参数为：</w:t>
      </w:r>
      <w:proofErr w:type="gramStart"/>
      <w:r>
        <w:rPr>
          <w:rFonts w:eastAsia="宋体"/>
          <w:sz w:val="28"/>
          <w:szCs w:val="28"/>
        </w:rPr>
        <w:t>堆体规格</w:t>
      </w:r>
      <w:proofErr w:type="gramEnd"/>
      <w:r>
        <w:rPr>
          <w:rFonts w:eastAsia="宋体"/>
          <w:sz w:val="28"/>
          <w:szCs w:val="28"/>
        </w:rPr>
        <w:t>根据场地需求有</w:t>
      </w:r>
      <w:r>
        <w:rPr>
          <w:rFonts w:eastAsia="宋体"/>
          <w:sz w:val="28"/>
          <w:szCs w:val="28"/>
        </w:rPr>
        <w:t xml:space="preserve"> 3m× 2m× 2m</w:t>
      </w:r>
      <w:r>
        <w:rPr>
          <w:rFonts w:eastAsia="宋体"/>
          <w:sz w:val="28"/>
          <w:szCs w:val="28"/>
        </w:rPr>
        <w:t>、</w:t>
      </w:r>
      <w:r>
        <w:rPr>
          <w:rFonts w:eastAsia="宋体"/>
          <w:sz w:val="28"/>
          <w:szCs w:val="28"/>
        </w:rPr>
        <w:t>3m× 1m× 1m</w:t>
      </w:r>
      <w:r>
        <w:rPr>
          <w:rFonts w:eastAsia="宋体"/>
          <w:sz w:val="28"/>
          <w:szCs w:val="28"/>
        </w:rPr>
        <w:t>、</w:t>
      </w:r>
      <w:r>
        <w:rPr>
          <w:rFonts w:eastAsia="宋体"/>
          <w:sz w:val="28"/>
          <w:szCs w:val="28"/>
        </w:rPr>
        <w:t xml:space="preserve">3m× 3m× 3m </w:t>
      </w:r>
      <w:r>
        <w:rPr>
          <w:rFonts w:eastAsia="宋体"/>
          <w:sz w:val="28"/>
          <w:szCs w:val="28"/>
        </w:rPr>
        <w:t>等多种规格（图</w:t>
      </w:r>
      <w:r>
        <w:rPr>
          <w:rFonts w:eastAsia="宋体"/>
          <w:sz w:val="28"/>
          <w:szCs w:val="28"/>
        </w:rPr>
        <w:t>25</w:t>
      </w:r>
      <w:r>
        <w:rPr>
          <w:rFonts w:eastAsia="宋体"/>
          <w:sz w:val="28"/>
          <w:szCs w:val="28"/>
        </w:rPr>
        <w:t>），以初始含水率</w:t>
      </w:r>
      <w:r>
        <w:rPr>
          <w:rFonts w:eastAsia="宋体"/>
          <w:sz w:val="28"/>
          <w:szCs w:val="28"/>
        </w:rPr>
        <w:t xml:space="preserve"> 71% </w:t>
      </w:r>
      <w:r>
        <w:rPr>
          <w:rFonts w:eastAsia="宋体"/>
          <w:sz w:val="28"/>
          <w:szCs w:val="28"/>
        </w:rPr>
        <w:t>的奶牛粪为原料，同时设置菌剂与腐熟堆肥添加方案，包括添加</w:t>
      </w:r>
      <w:r>
        <w:rPr>
          <w:rFonts w:eastAsia="宋体"/>
          <w:sz w:val="28"/>
          <w:szCs w:val="28"/>
        </w:rPr>
        <w:t>0.05%</w:t>
      </w:r>
      <w:r>
        <w:rPr>
          <w:rFonts w:eastAsia="宋体"/>
          <w:sz w:val="28"/>
          <w:szCs w:val="28"/>
        </w:rPr>
        <w:t>、</w:t>
      </w:r>
      <w:r>
        <w:rPr>
          <w:rFonts w:eastAsia="宋体"/>
          <w:sz w:val="28"/>
          <w:szCs w:val="28"/>
        </w:rPr>
        <w:t>0.1%</w:t>
      </w:r>
      <w:r>
        <w:rPr>
          <w:rFonts w:eastAsia="宋体"/>
          <w:sz w:val="28"/>
          <w:szCs w:val="28"/>
        </w:rPr>
        <w:t>、</w:t>
      </w:r>
      <w:r>
        <w:rPr>
          <w:rFonts w:eastAsia="宋体"/>
          <w:sz w:val="28"/>
          <w:szCs w:val="28"/>
        </w:rPr>
        <w:t xml:space="preserve">0.15% </w:t>
      </w:r>
      <w:r>
        <w:rPr>
          <w:rFonts w:eastAsia="宋体"/>
          <w:sz w:val="28"/>
          <w:szCs w:val="28"/>
        </w:rPr>
        <w:t>的复合菌剂，添加</w:t>
      </w:r>
      <w:r>
        <w:rPr>
          <w:rFonts w:eastAsia="宋体"/>
          <w:sz w:val="28"/>
          <w:szCs w:val="28"/>
        </w:rPr>
        <w:t>10%</w:t>
      </w:r>
      <w:r>
        <w:rPr>
          <w:rFonts w:eastAsia="宋体"/>
          <w:sz w:val="28"/>
          <w:szCs w:val="28"/>
        </w:rPr>
        <w:t>腐熟堆肥，堆置时长</w:t>
      </w:r>
      <w:r>
        <w:rPr>
          <w:rFonts w:eastAsia="宋体"/>
          <w:sz w:val="28"/>
          <w:szCs w:val="28"/>
        </w:rPr>
        <w:t>42 d</w:t>
      </w:r>
      <w:r>
        <w:rPr>
          <w:rFonts w:eastAsia="宋体"/>
          <w:sz w:val="28"/>
          <w:szCs w:val="28"/>
        </w:rPr>
        <w:t>，</w:t>
      </w:r>
      <w:proofErr w:type="gramStart"/>
      <w:r>
        <w:rPr>
          <w:rFonts w:eastAsia="宋体"/>
          <w:sz w:val="28"/>
          <w:szCs w:val="28"/>
        </w:rPr>
        <w:t>堆体采用</w:t>
      </w:r>
      <w:proofErr w:type="gramEnd"/>
      <w:r>
        <w:rPr>
          <w:rFonts w:eastAsia="宋体"/>
          <w:sz w:val="28"/>
          <w:szCs w:val="28"/>
        </w:rPr>
        <w:t>膜覆盖处理，堆</w:t>
      </w:r>
      <w:r>
        <w:rPr>
          <w:rFonts w:eastAsia="宋体"/>
          <w:sz w:val="28"/>
          <w:szCs w:val="28"/>
        </w:rPr>
        <w:lastRenderedPageBreak/>
        <w:t>肥结束时所有处理的种子发芽指数均超过</w:t>
      </w:r>
      <w:r>
        <w:rPr>
          <w:rFonts w:eastAsia="宋体"/>
          <w:sz w:val="28"/>
          <w:szCs w:val="28"/>
        </w:rPr>
        <w:t xml:space="preserve"> 80%</w:t>
      </w:r>
      <w:r>
        <w:rPr>
          <w:rFonts w:eastAsia="宋体"/>
          <w:sz w:val="28"/>
          <w:szCs w:val="28"/>
        </w:rPr>
        <w:t>，达到腐熟标准（图</w:t>
      </w:r>
      <w:r>
        <w:rPr>
          <w:rFonts w:eastAsia="宋体"/>
          <w:sz w:val="28"/>
          <w:szCs w:val="28"/>
        </w:rPr>
        <w:t>26</w:t>
      </w:r>
      <w:r>
        <w:rPr>
          <w:rFonts w:eastAsia="宋体"/>
          <w:sz w:val="28"/>
          <w:szCs w:val="28"/>
        </w:rPr>
        <w:t>）。</w:t>
      </w:r>
    </w:p>
    <w:p w:rsidR="0027074B" w:rsidRDefault="004B23C3">
      <w:pPr>
        <w:ind w:firstLineChars="0" w:firstLine="0"/>
        <w:jc w:val="center"/>
        <w:rPr>
          <w:rFonts w:eastAsia="宋体"/>
          <w:sz w:val="28"/>
          <w:szCs w:val="28"/>
        </w:rPr>
      </w:pPr>
      <w:r>
        <w:rPr>
          <w:noProof/>
        </w:rPr>
        <w:drawing>
          <wp:inline distT="0" distB="0" distL="114300" distR="114300">
            <wp:extent cx="3702050" cy="2249156"/>
            <wp:effectExtent l="0" t="0" r="0" b="0"/>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3"/>
                    <a:stretch>
                      <a:fillRect/>
                    </a:stretch>
                  </pic:blipFill>
                  <pic:spPr>
                    <a:xfrm>
                      <a:off x="0" y="0"/>
                      <a:ext cx="3706299" cy="2251738"/>
                    </a:xfrm>
                    <a:prstGeom prst="rect">
                      <a:avLst/>
                    </a:prstGeom>
                    <a:noFill/>
                    <a:ln>
                      <a:noFill/>
                    </a:ln>
                  </pic:spPr>
                </pic:pic>
              </a:graphicData>
            </a:graphic>
          </wp:inline>
        </w:drawing>
      </w:r>
    </w:p>
    <w:p w:rsidR="0027074B" w:rsidRDefault="004B23C3">
      <w:pPr>
        <w:pStyle w:val="af6"/>
        <w:rPr>
          <w:szCs w:val="24"/>
        </w:rPr>
      </w:pPr>
      <w:r>
        <w:rPr>
          <w:szCs w:val="24"/>
        </w:rPr>
        <w:t>图</w:t>
      </w:r>
      <w:r>
        <w:rPr>
          <w:szCs w:val="24"/>
        </w:rPr>
        <w:t xml:space="preserve">25 </w:t>
      </w:r>
      <w:r>
        <w:rPr>
          <w:szCs w:val="24"/>
        </w:rPr>
        <w:t>宁夏中宁县中垦天宁牧业有限公司覆膜堆肥现场</w:t>
      </w:r>
    </w:p>
    <w:p w:rsidR="0027074B" w:rsidRDefault="004B23C3">
      <w:pPr>
        <w:ind w:firstLine="560"/>
        <w:jc w:val="left"/>
        <w:rPr>
          <w:rFonts w:eastAsia="宋体"/>
          <w:sz w:val="28"/>
          <w:szCs w:val="28"/>
        </w:rPr>
      </w:pPr>
      <w:r>
        <w:rPr>
          <w:rFonts w:eastAsia="宋体"/>
          <w:noProof/>
          <w:sz w:val="28"/>
          <w:szCs w:val="28"/>
        </w:rPr>
        <w:drawing>
          <wp:inline distT="0" distB="0" distL="0" distR="0">
            <wp:extent cx="4686300" cy="1602105"/>
            <wp:effectExtent l="0" t="0" r="7620" b="13335"/>
            <wp:docPr id="21354148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41481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4695166" cy="1605378"/>
                    </a:xfrm>
                    <a:prstGeom prst="rect">
                      <a:avLst/>
                    </a:prstGeom>
                    <a:noFill/>
                    <a:ln>
                      <a:noFill/>
                    </a:ln>
                  </pic:spPr>
                </pic:pic>
              </a:graphicData>
            </a:graphic>
          </wp:inline>
        </w:drawing>
      </w:r>
    </w:p>
    <w:p w:rsidR="0027074B" w:rsidRDefault="004B23C3">
      <w:pPr>
        <w:ind w:firstLine="480"/>
        <w:jc w:val="center"/>
        <w:rPr>
          <w:rFonts w:eastAsia="黑体"/>
        </w:rPr>
      </w:pPr>
      <w:r>
        <w:rPr>
          <w:rFonts w:eastAsia="黑体"/>
        </w:rPr>
        <w:t>图</w:t>
      </w:r>
      <w:r w:rsidR="00296043">
        <w:rPr>
          <w:rFonts w:eastAsia="黑体"/>
        </w:rPr>
        <w:t xml:space="preserve">26 </w:t>
      </w:r>
      <w:r>
        <w:rPr>
          <w:rFonts w:eastAsia="黑体"/>
        </w:rPr>
        <w:t>覆膜性能指标变化</w:t>
      </w:r>
    </w:p>
    <w:p w:rsidR="0027074B" w:rsidRDefault="004B23C3" w:rsidP="00844FE2">
      <w:pPr>
        <w:spacing w:before="100" w:beforeAutospacing="1"/>
        <w:ind w:firstLine="562"/>
        <w:rPr>
          <w:rFonts w:eastAsia="宋体"/>
          <w:b/>
          <w:bCs/>
          <w:sz w:val="28"/>
          <w:szCs w:val="28"/>
        </w:rPr>
      </w:pPr>
      <w:r>
        <w:rPr>
          <w:rFonts w:eastAsia="宋体"/>
          <w:b/>
          <w:bCs/>
          <w:sz w:val="28"/>
          <w:szCs w:val="28"/>
        </w:rPr>
        <w:t>案例四：甘肃省武威市</w:t>
      </w:r>
      <w:proofErr w:type="gramStart"/>
      <w:r>
        <w:rPr>
          <w:rFonts w:eastAsia="宋体"/>
          <w:b/>
          <w:bCs/>
          <w:sz w:val="28"/>
          <w:szCs w:val="28"/>
        </w:rPr>
        <w:t>凉州区</w:t>
      </w:r>
      <w:proofErr w:type="gramEnd"/>
      <w:r>
        <w:rPr>
          <w:rFonts w:eastAsia="宋体"/>
          <w:b/>
          <w:bCs/>
          <w:sz w:val="28"/>
          <w:szCs w:val="28"/>
        </w:rPr>
        <w:t>陈氏养猪场猪粪</w:t>
      </w:r>
      <w:r>
        <w:rPr>
          <w:rFonts w:eastAsia="宋体" w:hint="eastAsia"/>
          <w:b/>
          <w:bCs/>
          <w:sz w:val="28"/>
          <w:szCs w:val="28"/>
        </w:rPr>
        <w:t>覆膜堆肥</w:t>
      </w:r>
      <w:r>
        <w:rPr>
          <w:rFonts w:eastAsia="宋体"/>
          <w:b/>
          <w:bCs/>
          <w:sz w:val="28"/>
          <w:szCs w:val="28"/>
        </w:rPr>
        <w:t>工艺</w:t>
      </w:r>
    </w:p>
    <w:p w:rsidR="0027074B" w:rsidRDefault="004B23C3">
      <w:pPr>
        <w:ind w:firstLine="560"/>
        <w:rPr>
          <w:rFonts w:eastAsia="宋体"/>
          <w:sz w:val="28"/>
          <w:szCs w:val="28"/>
        </w:rPr>
      </w:pPr>
      <w:r>
        <w:rPr>
          <w:rFonts w:eastAsia="宋体"/>
          <w:sz w:val="28"/>
          <w:szCs w:val="28"/>
        </w:rPr>
        <w:t>该养猪场位于甘肃省武威市</w:t>
      </w:r>
      <w:proofErr w:type="gramStart"/>
      <w:r>
        <w:rPr>
          <w:rFonts w:eastAsia="宋体"/>
          <w:sz w:val="28"/>
          <w:szCs w:val="28"/>
        </w:rPr>
        <w:t>凉州区</w:t>
      </w:r>
      <w:proofErr w:type="gramEnd"/>
      <w:r>
        <w:rPr>
          <w:rFonts w:eastAsia="宋体"/>
          <w:sz w:val="28"/>
          <w:szCs w:val="28"/>
        </w:rPr>
        <w:t>柏树镇，养殖规模为</w:t>
      </w:r>
      <w:r>
        <w:rPr>
          <w:rFonts w:eastAsia="宋体"/>
          <w:sz w:val="28"/>
          <w:szCs w:val="28"/>
        </w:rPr>
        <w:t>150</w:t>
      </w:r>
      <w:r>
        <w:rPr>
          <w:rFonts w:eastAsia="宋体"/>
          <w:sz w:val="28"/>
          <w:szCs w:val="28"/>
        </w:rPr>
        <w:t>头猪。为解决猪粪污的环境污染问题、实现粪污资源化利用，选择覆膜堆肥工艺进行处理。其覆膜堆肥工艺规格与参数为：</w:t>
      </w:r>
      <w:proofErr w:type="gramStart"/>
      <w:r>
        <w:rPr>
          <w:rFonts w:eastAsia="宋体"/>
          <w:sz w:val="28"/>
          <w:szCs w:val="28"/>
        </w:rPr>
        <w:t>堆体规格</w:t>
      </w:r>
      <w:proofErr w:type="gramEnd"/>
      <w:r>
        <w:rPr>
          <w:rFonts w:eastAsia="宋体"/>
          <w:sz w:val="28"/>
          <w:szCs w:val="28"/>
        </w:rPr>
        <w:t>统一为</w:t>
      </w:r>
      <w:r>
        <w:rPr>
          <w:rFonts w:eastAsia="宋体"/>
          <w:sz w:val="28"/>
          <w:szCs w:val="28"/>
        </w:rPr>
        <w:t xml:space="preserve">2m× 1.5m× 1m </w:t>
      </w:r>
      <w:r>
        <w:rPr>
          <w:rFonts w:eastAsia="宋体"/>
          <w:sz w:val="28"/>
          <w:szCs w:val="28"/>
        </w:rPr>
        <w:t>的堆</w:t>
      </w:r>
      <w:r>
        <w:rPr>
          <w:rFonts w:eastAsia="宋体" w:hint="eastAsia"/>
          <w:sz w:val="28"/>
          <w:szCs w:val="28"/>
        </w:rPr>
        <w:t>体</w:t>
      </w:r>
      <w:r>
        <w:rPr>
          <w:rFonts w:eastAsia="宋体"/>
          <w:sz w:val="28"/>
          <w:szCs w:val="28"/>
        </w:rPr>
        <w:t>，按腐熟堆肥添加比例设</w:t>
      </w:r>
      <w:r>
        <w:rPr>
          <w:rFonts w:eastAsia="宋体"/>
          <w:sz w:val="28"/>
          <w:szCs w:val="28"/>
        </w:rPr>
        <w:t xml:space="preserve"> 4 </w:t>
      </w:r>
      <w:proofErr w:type="gramStart"/>
      <w:r>
        <w:rPr>
          <w:rFonts w:eastAsia="宋体"/>
          <w:sz w:val="28"/>
          <w:szCs w:val="28"/>
        </w:rPr>
        <w:t>种处理</w:t>
      </w:r>
      <w:proofErr w:type="gramEnd"/>
      <w:r>
        <w:rPr>
          <w:rFonts w:eastAsia="宋体"/>
          <w:sz w:val="28"/>
          <w:szCs w:val="28"/>
        </w:rPr>
        <w:t>形式（</w:t>
      </w:r>
      <w:r>
        <w:rPr>
          <w:rFonts w:eastAsia="宋体"/>
          <w:sz w:val="28"/>
          <w:szCs w:val="28"/>
        </w:rPr>
        <w:t>7.5%</w:t>
      </w:r>
      <w:r>
        <w:rPr>
          <w:rFonts w:eastAsia="宋体"/>
          <w:sz w:val="28"/>
          <w:szCs w:val="28"/>
        </w:rPr>
        <w:t>、</w:t>
      </w:r>
      <w:r>
        <w:rPr>
          <w:rFonts w:eastAsia="宋体"/>
          <w:sz w:val="28"/>
          <w:szCs w:val="28"/>
        </w:rPr>
        <w:t>15%</w:t>
      </w:r>
      <w:r>
        <w:rPr>
          <w:rFonts w:eastAsia="宋体"/>
          <w:sz w:val="28"/>
          <w:szCs w:val="28"/>
        </w:rPr>
        <w:t>、</w:t>
      </w:r>
      <w:r>
        <w:rPr>
          <w:rFonts w:eastAsia="宋体"/>
          <w:sz w:val="28"/>
          <w:szCs w:val="28"/>
        </w:rPr>
        <w:t>22.5%</w:t>
      </w:r>
      <w:r>
        <w:rPr>
          <w:rFonts w:eastAsia="宋体"/>
          <w:sz w:val="28"/>
          <w:szCs w:val="28"/>
        </w:rPr>
        <w:t>、</w:t>
      </w:r>
      <w:r>
        <w:rPr>
          <w:rFonts w:eastAsia="宋体"/>
          <w:sz w:val="28"/>
          <w:szCs w:val="28"/>
        </w:rPr>
        <w:t xml:space="preserve">30% </w:t>
      </w:r>
      <w:r>
        <w:rPr>
          <w:rFonts w:eastAsia="宋体"/>
          <w:sz w:val="28"/>
          <w:szCs w:val="28"/>
        </w:rPr>
        <w:t>的腐熟堆肥添加量），以初始含水率</w:t>
      </w:r>
      <w:r>
        <w:rPr>
          <w:rFonts w:eastAsia="宋体"/>
          <w:sz w:val="28"/>
          <w:szCs w:val="28"/>
        </w:rPr>
        <w:t>70%</w:t>
      </w:r>
      <w:r>
        <w:rPr>
          <w:rFonts w:eastAsia="宋体"/>
          <w:sz w:val="28"/>
          <w:szCs w:val="28"/>
        </w:rPr>
        <w:t>的猪粪为原料，堆置时长约</w:t>
      </w:r>
      <w:r>
        <w:rPr>
          <w:rFonts w:eastAsia="宋体"/>
          <w:sz w:val="28"/>
          <w:szCs w:val="28"/>
        </w:rPr>
        <w:t>60 d</w:t>
      </w:r>
      <w:r>
        <w:rPr>
          <w:rFonts w:eastAsia="宋体"/>
          <w:sz w:val="28"/>
          <w:szCs w:val="28"/>
        </w:rPr>
        <w:t>，</w:t>
      </w:r>
      <w:proofErr w:type="gramStart"/>
      <w:r>
        <w:rPr>
          <w:rFonts w:eastAsia="宋体"/>
          <w:sz w:val="28"/>
          <w:szCs w:val="28"/>
        </w:rPr>
        <w:t>堆</w:t>
      </w:r>
      <w:r>
        <w:rPr>
          <w:rFonts w:eastAsia="宋体" w:hint="eastAsia"/>
          <w:sz w:val="28"/>
          <w:szCs w:val="28"/>
        </w:rPr>
        <w:t>体</w:t>
      </w:r>
      <w:r>
        <w:rPr>
          <w:rFonts w:eastAsia="宋体"/>
          <w:sz w:val="28"/>
          <w:szCs w:val="28"/>
        </w:rPr>
        <w:t>做</w:t>
      </w:r>
      <w:proofErr w:type="gramEnd"/>
      <w:r>
        <w:rPr>
          <w:rFonts w:eastAsia="宋体"/>
          <w:sz w:val="28"/>
          <w:szCs w:val="28"/>
        </w:rPr>
        <w:t>覆盖处理。堆肥期间，温度呈现先升后稳的趋势，</w:t>
      </w:r>
      <w:proofErr w:type="gramStart"/>
      <w:r>
        <w:rPr>
          <w:rFonts w:eastAsia="宋体"/>
          <w:sz w:val="28"/>
          <w:szCs w:val="28"/>
        </w:rPr>
        <w:t>各处理组温度</w:t>
      </w:r>
      <w:proofErr w:type="gramEnd"/>
      <w:r>
        <w:rPr>
          <w:rFonts w:eastAsia="宋体"/>
          <w:sz w:val="28"/>
          <w:szCs w:val="28"/>
        </w:rPr>
        <w:t>峰值可达</w:t>
      </w:r>
      <w:r>
        <w:rPr>
          <w:rFonts w:eastAsia="宋体"/>
          <w:sz w:val="28"/>
          <w:szCs w:val="28"/>
        </w:rPr>
        <w:t xml:space="preserve"> 60℃</w:t>
      </w:r>
      <w:r>
        <w:rPr>
          <w:rFonts w:eastAsia="宋体"/>
          <w:sz w:val="28"/>
          <w:szCs w:val="28"/>
        </w:rPr>
        <w:t>以上（图</w:t>
      </w:r>
      <w:r>
        <w:rPr>
          <w:rFonts w:eastAsia="宋体"/>
          <w:sz w:val="28"/>
          <w:szCs w:val="28"/>
        </w:rPr>
        <w:t>27</w:t>
      </w:r>
      <w:r>
        <w:rPr>
          <w:rFonts w:eastAsia="宋体"/>
          <w:sz w:val="28"/>
          <w:szCs w:val="28"/>
        </w:rPr>
        <w:t>）。最终</w:t>
      </w:r>
      <w:r>
        <w:rPr>
          <w:rFonts w:eastAsia="宋体" w:hint="eastAsia"/>
          <w:sz w:val="28"/>
          <w:szCs w:val="28"/>
        </w:rPr>
        <w:t>可</w:t>
      </w:r>
      <w:r>
        <w:rPr>
          <w:rFonts w:eastAsia="宋体"/>
          <w:sz w:val="28"/>
          <w:szCs w:val="28"/>
        </w:rPr>
        <w:t>实现了堆肥的有效腐熟，不同腐熟堆肥添加比例的处理组</w:t>
      </w:r>
      <w:proofErr w:type="gramStart"/>
      <w:r>
        <w:rPr>
          <w:rFonts w:eastAsia="宋体"/>
          <w:sz w:val="28"/>
          <w:szCs w:val="28"/>
        </w:rPr>
        <w:t>均达成</w:t>
      </w:r>
      <w:proofErr w:type="gramEnd"/>
      <w:r>
        <w:rPr>
          <w:rFonts w:eastAsia="宋体"/>
          <w:sz w:val="28"/>
          <w:szCs w:val="28"/>
        </w:rPr>
        <w:t>了稳定的粪污无害化与资源化效果。</w:t>
      </w:r>
    </w:p>
    <w:p w:rsidR="0027074B" w:rsidRDefault="004B23C3">
      <w:pPr>
        <w:ind w:firstLineChars="0" w:firstLine="0"/>
        <w:jc w:val="center"/>
        <w:rPr>
          <w:rFonts w:eastAsia="黑体"/>
        </w:rPr>
      </w:pPr>
      <w:r>
        <w:rPr>
          <w:rFonts w:eastAsia="黑体"/>
          <w:noProof/>
        </w:rPr>
        <w:lastRenderedPageBreak/>
        <w:drawing>
          <wp:inline distT="0" distB="0" distL="0" distR="0">
            <wp:extent cx="5076825" cy="2611755"/>
            <wp:effectExtent l="0" t="0" r="13335" b="9525"/>
            <wp:docPr id="17134092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409279"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088741" cy="2617889"/>
                    </a:xfrm>
                    <a:prstGeom prst="rect">
                      <a:avLst/>
                    </a:prstGeom>
                    <a:noFill/>
                    <a:ln>
                      <a:noFill/>
                    </a:ln>
                  </pic:spPr>
                </pic:pic>
              </a:graphicData>
            </a:graphic>
          </wp:inline>
        </w:drawing>
      </w:r>
    </w:p>
    <w:p w:rsidR="0027074B" w:rsidRDefault="004B23C3">
      <w:pPr>
        <w:ind w:firstLine="480"/>
        <w:jc w:val="center"/>
        <w:rPr>
          <w:rFonts w:eastAsia="黑体"/>
        </w:rPr>
      </w:pPr>
      <w:r>
        <w:rPr>
          <w:rFonts w:eastAsia="黑体"/>
        </w:rPr>
        <w:t>图</w:t>
      </w:r>
      <w:r>
        <w:rPr>
          <w:rFonts w:eastAsia="黑体"/>
        </w:rPr>
        <w:t xml:space="preserve">27 </w:t>
      </w:r>
      <w:r>
        <w:rPr>
          <w:rFonts w:eastAsia="黑体"/>
        </w:rPr>
        <w:t>堆肥性能指标变化</w:t>
      </w:r>
    </w:p>
    <w:p w:rsidR="0027074B" w:rsidRDefault="004B23C3">
      <w:pPr>
        <w:ind w:firstLine="562"/>
        <w:rPr>
          <w:rFonts w:eastAsia="宋体"/>
          <w:b/>
          <w:bCs/>
          <w:sz w:val="28"/>
          <w:szCs w:val="28"/>
        </w:rPr>
      </w:pPr>
      <w:r>
        <w:rPr>
          <w:rFonts w:eastAsia="宋体"/>
          <w:b/>
          <w:bCs/>
          <w:sz w:val="28"/>
          <w:szCs w:val="28"/>
        </w:rPr>
        <w:t>案例五：云南省大理白族自治州牛粪覆膜堆肥工艺</w:t>
      </w:r>
    </w:p>
    <w:p w:rsidR="0027074B" w:rsidRDefault="004B23C3">
      <w:pPr>
        <w:ind w:firstLine="560"/>
        <w:rPr>
          <w:rFonts w:eastAsia="宋体"/>
          <w:sz w:val="28"/>
          <w:szCs w:val="28"/>
        </w:rPr>
      </w:pPr>
      <w:r>
        <w:rPr>
          <w:rFonts w:eastAsia="宋体"/>
          <w:sz w:val="28"/>
          <w:szCs w:val="28"/>
        </w:rPr>
        <w:t>云南顺丰洱海环保股份有限公司以洱海流域畜禽粪便、餐厨垃圾等有机废弃物资源化利用为核心业务。截至</w:t>
      </w:r>
      <w:r>
        <w:rPr>
          <w:rFonts w:eastAsia="宋体"/>
          <w:sz w:val="28"/>
          <w:szCs w:val="28"/>
        </w:rPr>
        <w:t>202</w:t>
      </w:r>
      <w:r w:rsidR="00844FE2">
        <w:rPr>
          <w:rFonts w:eastAsia="宋体"/>
          <w:sz w:val="28"/>
          <w:szCs w:val="28"/>
        </w:rPr>
        <w:t>5</w:t>
      </w:r>
      <w:r>
        <w:rPr>
          <w:rFonts w:eastAsia="宋体"/>
          <w:sz w:val="28"/>
          <w:szCs w:val="28"/>
        </w:rPr>
        <w:t>年，处理有机废弃物近</w:t>
      </w:r>
      <w:r>
        <w:rPr>
          <w:rFonts w:eastAsia="宋体"/>
          <w:sz w:val="28"/>
          <w:szCs w:val="28"/>
        </w:rPr>
        <w:t>400</w:t>
      </w:r>
      <w:r>
        <w:rPr>
          <w:rFonts w:eastAsia="宋体"/>
          <w:sz w:val="28"/>
          <w:szCs w:val="28"/>
        </w:rPr>
        <w:t>万吨，实现流域全覆盖。鉴于收集站点分布广泛，距离加工厂远，运输不便，导致处理成本增加。在收集站点，</w:t>
      </w:r>
      <w:r>
        <w:rPr>
          <w:rFonts w:eastAsia="宋体" w:hint="eastAsia"/>
          <w:sz w:val="28"/>
          <w:szCs w:val="28"/>
        </w:rPr>
        <w:t>通过芦苇秸秆、腐熟物料等混合后，混合物料的含水率可控制在</w:t>
      </w:r>
      <w:r>
        <w:rPr>
          <w:rFonts w:eastAsia="宋体" w:hint="eastAsia"/>
          <w:sz w:val="28"/>
          <w:szCs w:val="28"/>
        </w:rPr>
        <w:t>65%</w:t>
      </w:r>
      <w:r>
        <w:rPr>
          <w:rFonts w:eastAsia="宋体" w:hint="eastAsia"/>
          <w:sz w:val="28"/>
          <w:szCs w:val="28"/>
        </w:rPr>
        <w:t>左右，堆体高度约</w:t>
      </w:r>
      <w:r>
        <w:rPr>
          <w:rFonts w:eastAsia="宋体" w:hint="eastAsia"/>
          <w:sz w:val="28"/>
          <w:szCs w:val="28"/>
        </w:rPr>
        <w:t>3</w:t>
      </w:r>
      <w:r>
        <w:rPr>
          <w:rFonts w:eastAsia="宋体" w:hint="eastAsia"/>
          <w:sz w:val="28"/>
          <w:szCs w:val="28"/>
        </w:rPr>
        <w:t>米，经</w:t>
      </w:r>
      <w:r>
        <w:rPr>
          <w:rFonts w:eastAsia="宋体" w:hint="eastAsia"/>
          <w:sz w:val="28"/>
          <w:szCs w:val="28"/>
        </w:rPr>
        <w:t>10</w:t>
      </w:r>
      <w:r>
        <w:rPr>
          <w:rFonts w:eastAsia="宋体" w:hint="eastAsia"/>
          <w:sz w:val="28"/>
          <w:szCs w:val="28"/>
        </w:rPr>
        <w:t>天发酵后</w:t>
      </w:r>
      <w:proofErr w:type="gramStart"/>
      <w:r>
        <w:rPr>
          <w:rFonts w:eastAsia="宋体" w:hint="eastAsia"/>
          <w:sz w:val="28"/>
          <w:szCs w:val="28"/>
        </w:rPr>
        <w:t>堆体减</w:t>
      </w:r>
      <w:proofErr w:type="gramEnd"/>
      <w:r>
        <w:rPr>
          <w:rFonts w:eastAsia="宋体" w:hint="eastAsia"/>
          <w:sz w:val="28"/>
          <w:szCs w:val="28"/>
        </w:rPr>
        <w:t>量化程度可达</w:t>
      </w:r>
      <w:r>
        <w:rPr>
          <w:rFonts w:eastAsia="宋体" w:hint="eastAsia"/>
          <w:sz w:val="28"/>
          <w:szCs w:val="28"/>
        </w:rPr>
        <w:t>30%</w:t>
      </w:r>
      <w:r>
        <w:rPr>
          <w:rFonts w:eastAsia="宋体" w:hint="eastAsia"/>
          <w:sz w:val="28"/>
          <w:szCs w:val="28"/>
        </w:rPr>
        <w:t>以上，运输成本可降低</w:t>
      </w:r>
      <w:r>
        <w:rPr>
          <w:rFonts w:eastAsia="宋体" w:hint="eastAsia"/>
          <w:sz w:val="28"/>
          <w:szCs w:val="28"/>
        </w:rPr>
        <w:t>28%</w:t>
      </w:r>
      <w:r>
        <w:rPr>
          <w:rFonts w:eastAsia="宋体" w:hint="eastAsia"/>
          <w:sz w:val="28"/>
          <w:szCs w:val="28"/>
        </w:rPr>
        <w:t>以上，氮损失可减少</w:t>
      </w:r>
      <w:r>
        <w:rPr>
          <w:rFonts w:eastAsia="宋体" w:hint="eastAsia"/>
          <w:sz w:val="28"/>
          <w:szCs w:val="28"/>
        </w:rPr>
        <w:t>32%</w:t>
      </w:r>
      <w:r>
        <w:rPr>
          <w:rFonts w:eastAsia="宋体" w:hint="eastAsia"/>
          <w:sz w:val="28"/>
          <w:szCs w:val="28"/>
        </w:rPr>
        <w:t>以上。</w:t>
      </w:r>
    </w:p>
    <w:p w:rsidR="0027074B" w:rsidRDefault="004B23C3">
      <w:pPr>
        <w:ind w:firstLineChars="0" w:firstLine="0"/>
        <w:jc w:val="center"/>
        <w:rPr>
          <w:rFonts w:eastAsia="宋体"/>
          <w:sz w:val="28"/>
          <w:szCs w:val="28"/>
        </w:rPr>
      </w:pPr>
      <w:r>
        <w:rPr>
          <w:noProof/>
        </w:rPr>
        <w:drawing>
          <wp:inline distT="0" distB="0" distL="114300" distR="114300">
            <wp:extent cx="3222625" cy="1856105"/>
            <wp:effectExtent l="0" t="0" r="8255" b="3175"/>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pic:cNvPicPr>
                  </pic:nvPicPr>
                  <pic:blipFill>
                    <a:blip r:embed="rId36"/>
                    <a:stretch>
                      <a:fillRect/>
                    </a:stretch>
                  </pic:blipFill>
                  <pic:spPr>
                    <a:xfrm>
                      <a:off x="0" y="0"/>
                      <a:ext cx="3222625" cy="1856105"/>
                    </a:xfrm>
                    <a:prstGeom prst="rect">
                      <a:avLst/>
                    </a:prstGeom>
                    <a:noFill/>
                    <a:ln>
                      <a:noFill/>
                    </a:ln>
                  </pic:spPr>
                </pic:pic>
              </a:graphicData>
            </a:graphic>
          </wp:inline>
        </w:drawing>
      </w:r>
    </w:p>
    <w:p w:rsidR="0027074B" w:rsidRDefault="004B23C3">
      <w:pPr>
        <w:ind w:firstLine="480"/>
        <w:jc w:val="center"/>
        <w:rPr>
          <w:rFonts w:eastAsia="黑体"/>
        </w:rPr>
      </w:pPr>
      <w:r>
        <w:rPr>
          <w:rFonts w:eastAsia="黑体"/>
        </w:rPr>
        <w:t>图</w:t>
      </w:r>
      <w:r>
        <w:rPr>
          <w:rFonts w:eastAsia="黑体"/>
        </w:rPr>
        <w:t xml:space="preserve">28 </w:t>
      </w:r>
      <w:r>
        <w:rPr>
          <w:rFonts w:eastAsia="黑体"/>
        </w:rPr>
        <w:t>云南顺丰洱海环保股份有限公司覆膜堆肥现场</w:t>
      </w:r>
    </w:p>
    <w:p w:rsidR="0027074B" w:rsidRDefault="004B23C3">
      <w:pPr>
        <w:pStyle w:val="22"/>
        <w:ind w:firstLine="562"/>
      </w:pPr>
      <w:r>
        <w:t>（二）技术经济论证</w:t>
      </w:r>
      <w:bookmarkEnd w:id="28"/>
    </w:p>
    <w:p w:rsidR="0027074B" w:rsidRDefault="004B23C3">
      <w:pPr>
        <w:pStyle w:val="13"/>
        <w:ind w:firstLine="560"/>
      </w:pPr>
      <w:r>
        <w:t>通过技术经济性分析，覆膜堆肥技术显著降低了粪污处理成本，</w:t>
      </w:r>
      <w:r>
        <w:lastRenderedPageBreak/>
        <w:t>工程规模验证结果显示，与传统工程规模堆肥相比，以</w:t>
      </w:r>
      <w:proofErr w:type="gramStart"/>
      <w:r>
        <w:t>条垛式</w:t>
      </w:r>
      <w:proofErr w:type="gramEnd"/>
      <w:r>
        <w:t>为代表的简易覆膜堆肥技术，在经济效益上表现出显著优势。一方面，通过省略高成本环节实现极低的设施投入，无需建设发酵车间、曝气系统和密闭臭气处理装置，仅需简易硬化地面</w:t>
      </w:r>
      <w:r>
        <w:rPr>
          <w:rFonts w:hint="eastAsia"/>
        </w:rPr>
        <w:t>，采用简单通风管供氧</w:t>
      </w:r>
      <w:r>
        <w:t>，使单位投资成本</w:t>
      </w:r>
      <w:proofErr w:type="gramStart"/>
      <w:r>
        <w:t>较工程</w:t>
      </w:r>
      <w:proofErr w:type="gramEnd"/>
      <w:r>
        <w:t>堆肥降低</w:t>
      </w:r>
      <w:r>
        <w:t>70%-90%</w:t>
      </w:r>
      <w:r>
        <w:t>。另一方面，</w:t>
      </w:r>
      <w:r>
        <w:rPr>
          <w:color w:val="auto"/>
          <w:szCs w:val="28"/>
        </w:rPr>
        <w:t>覆膜堆肥处理主要为就地消纳，极大地减少了粪</w:t>
      </w:r>
      <w:proofErr w:type="gramStart"/>
      <w:r>
        <w:rPr>
          <w:color w:val="auto"/>
          <w:szCs w:val="28"/>
        </w:rPr>
        <w:t>污集中</w:t>
      </w:r>
      <w:proofErr w:type="gramEnd"/>
      <w:r>
        <w:rPr>
          <w:color w:val="auto"/>
          <w:szCs w:val="28"/>
        </w:rPr>
        <w:t>收、储、运环节所产生的物流成本和能耗，且</w:t>
      </w:r>
      <w:r>
        <w:t>依赖自然过程的简单运行，无需持续鼓风能耗、专用</w:t>
      </w:r>
      <w:r w:rsidR="00844FE2">
        <w:t>菌剂添加与复杂维护，主要成本为周期性翻堆，使运行成本仅为</w:t>
      </w:r>
      <w:r w:rsidR="00844FE2">
        <w:rPr>
          <w:rFonts w:hint="eastAsia"/>
        </w:rPr>
        <w:t>工厂化</w:t>
      </w:r>
      <w:r>
        <w:t>堆肥</w:t>
      </w:r>
      <w:r w:rsidR="00844FE2">
        <w:rPr>
          <w:rFonts w:hint="eastAsia"/>
        </w:rPr>
        <w:t>工艺</w:t>
      </w:r>
      <w:r>
        <w:t>的</w:t>
      </w:r>
      <w:r>
        <w:t>20%-40%</w:t>
      </w:r>
      <w:r>
        <w:t>。具体经济效益主要取决于畜禽粪便是否需要采购和短距离运输。此外，合理的覆膜堆肥工艺可显著减少氮损失，增加有机物中养分固定到腐殖质中，提升了资源利用率。同时，该技术符合国内实际情况，无需依赖国际技术标准或进口设备，在经济性、可操作性方面具有显著优势，适合用于规模化推广。</w:t>
      </w:r>
    </w:p>
    <w:p w:rsidR="0027074B" w:rsidRDefault="004B23C3">
      <w:pPr>
        <w:pStyle w:val="22"/>
        <w:ind w:firstLine="560"/>
      </w:pPr>
      <w:bookmarkStart w:id="30" w:name="_Toc203082626"/>
      <w:r>
        <w:rPr>
          <w:rFonts w:eastAsia="微软雅黑"/>
        </w:rPr>
        <w:t>（三）效益分析</w:t>
      </w:r>
      <w:bookmarkEnd w:id="30"/>
    </w:p>
    <w:p w:rsidR="0027074B" w:rsidRDefault="004B23C3">
      <w:pPr>
        <w:pStyle w:val="13"/>
        <w:ind w:firstLine="560"/>
        <w:rPr>
          <w:color w:val="auto"/>
          <w:szCs w:val="28"/>
        </w:rPr>
      </w:pPr>
      <w:r>
        <w:rPr>
          <w:lang w:val="zh-CN"/>
        </w:rPr>
        <w:t>1.</w:t>
      </w:r>
      <w:r>
        <w:rPr>
          <w:b/>
          <w:bCs/>
          <w:color w:val="24292F"/>
          <w:shd w:val="clear" w:color="auto" w:fill="FFFFFF"/>
        </w:rPr>
        <w:t xml:space="preserve"> </w:t>
      </w:r>
      <w:r>
        <w:rPr>
          <w:b/>
          <w:bCs/>
        </w:rPr>
        <w:t>经济效益</w:t>
      </w:r>
      <w:r>
        <w:t>：覆膜堆肥技术通过减量化和资源化直接降低处理成本。与需要建设集中处理中心、购置专用设备的槽式堆肥、反应器堆肥等技术相比，覆膜堆肥技术通常只需在养殖场内或附近建设具有防雨、防渗功能的简易覆膜堆肥设，</w:t>
      </w:r>
      <w:r>
        <w:rPr>
          <w:color w:val="auto"/>
          <w:szCs w:val="28"/>
        </w:rPr>
        <w:t>单位投资成本可降低</w:t>
      </w:r>
      <w:r>
        <w:rPr>
          <w:color w:val="auto"/>
          <w:szCs w:val="28"/>
        </w:rPr>
        <w:t>70%-90%</w:t>
      </w:r>
      <w:r>
        <w:rPr>
          <w:color w:val="auto"/>
          <w:szCs w:val="28"/>
        </w:rPr>
        <w:t>；同时，</w:t>
      </w:r>
      <w:bookmarkStart w:id="31" w:name="OLE_LINK27"/>
      <w:r>
        <w:rPr>
          <w:color w:val="auto"/>
          <w:szCs w:val="28"/>
        </w:rPr>
        <w:t>覆膜堆肥处理主要为就地消纳，极大地减少了粪</w:t>
      </w:r>
      <w:proofErr w:type="gramStart"/>
      <w:r>
        <w:rPr>
          <w:color w:val="auto"/>
          <w:szCs w:val="28"/>
        </w:rPr>
        <w:t>污集中</w:t>
      </w:r>
      <w:proofErr w:type="gramEnd"/>
      <w:r>
        <w:rPr>
          <w:color w:val="auto"/>
          <w:szCs w:val="28"/>
        </w:rPr>
        <w:t>收、储、运环节所产生的物流成本和能耗，</w:t>
      </w:r>
      <w:bookmarkEnd w:id="31"/>
      <w:r>
        <w:rPr>
          <w:color w:val="auto"/>
          <w:szCs w:val="28"/>
        </w:rPr>
        <w:t>运行成本至多仅为工程堆肥的</w:t>
      </w:r>
      <w:r>
        <w:rPr>
          <w:color w:val="auto"/>
          <w:szCs w:val="28"/>
        </w:rPr>
        <w:t>20%-40%</w:t>
      </w:r>
      <w:r>
        <w:rPr>
          <w:color w:val="auto"/>
          <w:szCs w:val="28"/>
        </w:rPr>
        <w:t>。</w:t>
      </w:r>
    </w:p>
    <w:p w:rsidR="0027074B" w:rsidRDefault="004B23C3">
      <w:pPr>
        <w:pStyle w:val="13"/>
        <w:ind w:firstLine="560"/>
        <w:rPr>
          <w:lang w:val="zh-CN"/>
        </w:rPr>
      </w:pPr>
      <w:r>
        <w:rPr>
          <w:lang w:val="zh-CN"/>
        </w:rPr>
        <w:t>2.</w:t>
      </w:r>
      <w:r>
        <w:rPr>
          <w:b/>
          <w:bCs/>
          <w:color w:val="24292F"/>
          <w:shd w:val="clear" w:color="auto" w:fill="FFFFFF"/>
        </w:rPr>
        <w:t xml:space="preserve"> </w:t>
      </w:r>
      <w:r>
        <w:rPr>
          <w:b/>
          <w:bCs/>
        </w:rPr>
        <w:t>社会效益</w:t>
      </w:r>
      <w:r>
        <w:t>：技术推广促进了农牧业废弃物循环利用，改善了农</w:t>
      </w:r>
      <w:r>
        <w:lastRenderedPageBreak/>
        <w:t>村环境卫生，降低了粪污随意排放引发的公共卫生风险。覆膜堆肥后无害</w:t>
      </w:r>
      <w:proofErr w:type="gramStart"/>
      <w:r>
        <w:t>化指标</w:t>
      </w:r>
      <w:proofErr w:type="gramEnd"/>
      <w:r>
        <w:t>保障了有机肥的安全性，间接提升了农田土壤健康与食品安全水平。</w:t>
      </w:r>
    </w:p>
    <w:p w:rsidR="0027074B" w:rsidRDefault="004B23C3">
      <w:pPr>
        <w:pStyle w:val="13"/>
        <w:ind w:firstLine="560"/>
        <w:rPr>
          <w:lang w:val="zh-CN"/>
        </w:rPr>
      </w:pPr>
      <w:r>
        <w:rPr>
          <w:lang w:val="zh-CN"/>
        </w:rPr>
        <w:t>3.</w:t>
      </w:r>
      <w:r>
        <w:rPr>
          <w:b/>
          <w:bCs/>
          <w:color w:val="24292F"/>
          <w:shd w:val="clear" w:color="auto" w:fill="FFFFFF"/>
        </w:rPr>
        <w:t xml:space="preserve"> </w:t>
      </w:r>
      <w:r>
        <w:rPr>
          <w:b/>
          <w:bCs/>
        </w:rPr>
        <w:t>生态效益</w:t>
      </w:r>
      <w:r>
        <w:t>：规范的覆膜堆肥过程有利于有机质的腐殖化，并有助于减少氮素以氨气等形式挥发性损失。编制组研究表明，合理的覆膜堆肥措施可减少氮损失</w:t>
      </w:r>
      <w:r>
        <w:t>3</w:t>
      </w:r>
      <w:r>
        <w:rPr>
          <w:rFonts w:hint="eastAsia"/>
        </w:rPr>
        <w:t>0</w:t>
      </w:r>
      <w:r>
        <w:t>%</w:t>
      </w:r>
      <w:r>
        <w:t>以上，降低了农业面源污染风险，有助于保护水体生态。同时，覆膜堆肥过程通过高温杀灭病原菌，减少化学消毒剂使用，符合绿色农业发展趋势。</w:t>
      </w:r>
    </w:p>
    <w:p w:rsidR="0027074B" w:rsidRDefault="004B23C3">
      <w:pPr>
        <w:pStyle w:val="1"/>
        <w:spacing w:before="0" w:beforeAutospacing="0" w:after="0" w:afterAutospacing="0"/>
        <w:rPr>
          <w:rFonts w:ascii="Times New Roman" w:eastAsia="黑体" w:hAnsi="Times New Roman" w:cs="Times New Roman"/>
          <w:sz w:val="28"/>
          <w:lang w:val="zh-CN"/>
        </w:rPr>
      </w:pPr>
      <w:bookmarkStart w:id="32" w:name="_Toc203082627"/>
      <w:r>
        <w:rPr>
          <w:rFonts w:ascii="Times New Roman" w:eastAsia="黑体" w:hAnsi="Times New Roman" w:cs="Times New Roman"/>
          <w:sz w:val="28"/>
          <w:lang w:val="zh-CN"/>
        </w:rPr>
        <w:t>四、与国际、国外同类标准技术内容的对比及引用情况</w:t>
      </w:r>
      <w:bookmarkEnd w:id="32"/>
    </w:p>
    <w:p w:rsidR="0027074B" w:rsidRDefault="004B23C3">
      <w:pPr>
        <w:pStyle w:val="13"/>
        <w:ind w:firstLine="560"/>
        <w:rPr>
          <w:color w:val="auto"/>
          <w:szCs w:val="32"/>
        </w:rPr>
      </w:pPr>
      <w:r>
        <w:rPr>
          <w:color w:val="auto"/>
          <w:szCs w:val="32"/>
        </w:rPr>
        <w:t>本文件制定过程中未采用国际标准，国内目前</w:t>
      </w:r>
      <w:r w:rsidR="00296043">
        <w:rPr>
          <w:rFonts w:hint="eastAsia"/>
          <w:color w:val="auto"/>
          <w:szCs w:val="32"/>
        </w:rPr>
        <w:t>已发布的</w:t>
      </w:r>
      <w:r w:rsidR="00296043">
        <w:rPr>
          <w:rFonts w:hint="eastAsia"/>
          <w:color w:val="auto"/>
          <w:szCs w:val="32"/>
        </w:rPr>
        <w:t>相关标准</w:t>
      </w:r>
      <w:r w:rsidR="00296043">
        <w:rPr>
          <w:rFonts w:hint="eastAsia"/>
          <w:color w:val="auto"/>
          <w:szCs w:val="32"/>
        </w:rPr>
        <w:t>有《</w:t>
      </w:r>
      <w:r w:rsidR="00296043">
        <w:rPr>
          <w:rFonts w:hint="eastAsia"/>
          <w:color w:val="auto"/>
          <w:szCs w:val="32"/>
        </w:rPr>
        <w:t>畜禽粪便堆肥</w:t>
      </w:r>
      <w:r w:rsidR="00296043">
        <w:rPr>
          <w:rFonts w:hint="eastAsia"/>
          <w:color w:val="auto"/>
          <w:szCs w:val="32"/>
        </w:rPr>
        <w:t>技术规范》等</w:t>
      </w:r>
      <w:r w:rsidR="00844FE2">
        <w:rPr>
          <w:rFonts w:hint="eastAsia"/>
          <w:color w:val="auto"/>
          <w:szCs w:val="32"/>
        </w:rPr>
        <w:t>，但本标准与国内其他标准应用场景不同，与其他</w:t>
      </w:r>
      <w:r>
        <w:rPr>
          <w:color w:val="auto"/>
          <w:szCs w:val="32"/>
        </w:rPr>
        <w:t>标准</w:t>
      </w:r>
      <w:r w:rsidR="00844FE2">
        <w:rPr>
          <w:rFonts w:hint="eastAsia"/>
          <w:color w:val="auto"/>
          <w:szCs w:val="32"/>
        </w:rPr>
        <w:t>互为补充</w:t>
      </w:r>
      <w:r>
        <w:rPr>
          <w:color w:val="auto"/>
          <w:szCs w:val="32"/>
        </w:rPr>
        <w:t>。</w:t>
      </w:r>
    </w:p>
    <w:p w:rsidR="0027074B" w:rsidRDefault="004B23C3">
      <w:pPr>
        <w:pStyle w:val="1"/>
        <w:spacing w:before="0" w:beforeAutospacing="0" w:after="0" w:afterAutospacing="0"/>
        <w:rPr>
          <w:rFonts w:ascii="Times New Roman" w:eastAsia="黑体" w:hAnsi="Times New Roman" w:cs="Times New Roman"/>
          <w:sz w:val="28"/>
          <w:lang w:val="zh-CN"/>
        </w:rPr>
      </w:pPr>
      <w:bookmarkStart w:id="33" w:name="_Toc132732169"/>
      <w:bookmarkStart w:id="34" w:name="_Toc203082628"/>
      <w:r>
        <w:rPr>
          <w:rFonts w:ascii="Times New Roman" w:eastAsia="黑体" w:hAnsi="Times New Roman" w:cs="Times New Roman"/>
          <w:sz w:val="28"/>
          <w:lang w:val="zh-CN"/>
        </w:rPr>
        <w:t>五、以国际标准为基础的起草情况，以及是否合</w:t>
      </w:r>
      <w:proofErr w:type="gramStart"/>
      <w:r>
        <w:rPr>
          <w:rFonts w:ascii="Times New Roman" w:eastAsia="黑体" w:hAnsi="Times New Roman" w:cs="Times New Roman"/>
          <w:sz w:val="28"/>
          <w:lang w:val="zh-CN"/>
        </w:rPr>
        <w:t>规</w:t>
      </w:r>
      <w:proofErr w:type="gramEnd"/>
      <w:r>
        <w:rPr>
          <w:rFonts w:ascii="Times New Roman" w:eastAsia="黑体" w:hAnsi="Times New Roman" w:cs="Times New Roman"/>
          <w:sz w:val="28"/>
          <w:lang w:val="zh-CN"/>
        </w:rPr>
        <w:t>引用或者采用国际国外标准，并说明未采用国际标准的原因</w:t>
      </w:r>
      <w:bookmarkEnd w:id="33"/>
      <w:bookmarkEnd w:id="34"/>
    </w:p>
    <w:p w:rsidR="0027074B" w:rsidRDefault="004B23C3">
      <w:pPr>
        <w:pStyle w:val="13"/>
        <w:ind w:firstLine="560"/>
        <w:rPr>
          <w:color w:val="auto"/>
          <w:szCs w:val="32"/>
        </w:rPr>
      </w:pPr>
      <w:r>
        <w:rPr>
          <w:color w:val="auto"/>
          <w:szCs w:val="32"/>
        </w:rPr>
        <w:t>本文件制定过程中根据国内实际情况制定，未以国际标准为基础进行起草。</w:t>
      </w:r>
    </w:p>
    <w:p w:rsidR="0027074B" w:rsidRDefault="004B23C3">
      <w:pPr>
        <w:pStyle w:val="1"/>
        <w:spacing w:before="0" w:beforeAutospacing="0" w:after="0" w:afterAutospacing="0"/>
        <w:rPr>
          <w:rFonts w:ascii="Times New Roman" w:eastAsia="黑体" w:hAnsi="Times New Roman" w:cs="Times New Roman"/>
          <w:b w:val="0"/>
          <w:bCs w:val="0"/>
          <w:sz w:val="28"/>
          <w:lang w:val="zh-CN"/>
        </w:rPr>
      </w:pPr>
      <w:bookmarkStart w:id="35" w:name="_Toc203082629"/>
      <w:r>
        <w:rPr>
          <w:rFonts w:ascii="Times New Roman" w:eastAsia="黑体" w:hAnsi="Times New Roman" w:cs="Times New Roman"/>
          <w:sz w:val="28"/>
          <w:lang w:val="zh-CN"/>
        </w:rPr>
        <w:t>六、与有关法律、行政法规及相关标准的关系</w:t>
      </w:r>
      <w:bookmarkEnd w:id="35"/>
    </w:p>
    <w:p w:rsidR="0027074B" w:rsidRDefault="004B23C3">
      <w:pPr>
        <w:pStyle w:val="13"/>
        <w:ind w:firstLine="560"/>
      </w:pPr>
      <w:r>
        <w:t>本文件符合国家环保与畜禽粪污资源化利用的相关政策、法律法规和强制性国家标准要求，有利于现行法律法规和强制性标准的落实。在标准的编制过程中，部分条款直接引用自现行国家或行业标准写明的相关内容，属于原文引用，避免了二次引用和重复。因此，本文件的制定也符合目前我国对畜禽粪污资源化利用的技术标准规范，内容</w:t>
      </w:r>
      <w:r>
        <w:lastRenderedPageBreak/>
        <w:t>详实合理。</w:t>
      </w:r>
    </w:p>
    <w:p w:rsidR="0027074B" w:rsidRDefault="004B23C3">
      <w:pPr>
        <w:pStyle w:val="1"/>
        <w:spacing w:before="0" w:beforeAutospacing="0" w:after="0" w:afterAutospacing="0"/>
        <w:rPr>
          <w:rFonts w:ascii="Times New Roman" w:eastAsia="黑体" w:hAnsi="Times New Roman" w:cs="Times New Roman"/>
          <w:b w:val="0"/>
          <w:bCs w:val="0"/>
          <w:sz w:val="28"/>
          <w:lang w:val="zh-CN"/>
        </w:rPr>
      </w:pPr>
      <w:bookmarkStart w:id="36" w:name="_Toc203082630"/>
      <w:r>
        <w:rPr>
          <w:rFonts w:ascii="Times New Roman" w:eastAsia="黑体" w:hAnsi="Times New Roman" w:cs="Times New Roman"/>
          <w:sz w:val="28"/>
          <w:lang w:val="zh-CN"/>
        </w:rPr>
        <w:t>七、重大意见分歧的处理依据和结果</w:t>
      </w:r>
      <w:bookmarkEnd w:id="36"/>
    </w:p>
    <w:p w:rsidR="0027074B" w:rsidRDefault="004B23C3">
      <w:pPr>
        <w:pStyle w:val="13"/>
        <w:ind w:firstLine="560"/>
        <w:rPr>
          <w:color w:val="auto"/>
          <w:szCs w:val="32"/>
        </w:rPr>
      </w:pPr>
      <w:r>
        <w:rPr>
          <w:color w:val="auto"/>
          <w:szCs w:val="32"/>
        </w:rPr>
        <w:t>综合各方专家意见，没有重大分歧。</w:t>
      </w:r>
    </w:p>
    <w:p w:rsidR="0027074B" w:rsidRDefault="004B23C3">
      <w:pPr>
        <w:pStyle w:val="1"/>
        <w:spacing w:before="0" w:beforeAutospacing="0" w:after="0" w:afterAutospacing="0"/>
        <w:rPr>
          <w:rFonts w:ascii="Times New Roman" w:eastAsia="黑体" w:hAnsi="Times New Roman" w:cs="Times New Roman"/>
          <w:b w:val="0"/>
          <w:bCs w:val="0"/>
          <w:sz w:val="28"/>
          <w:lang w:val="zh-CN"/>
        </w:rPr>
      </w:pPr>
      <w:bookmarkStart w:id="37" w:name="_Toc203082631"/>
      <w:r>
        <w:rPr>
          <w:rFonts w:ascii="Times New Roman" w:eastAsia="黑体" w:hAnsi="Times New Roman" w:cs="Times New Roman"/>
          <w:sz w:val="28"/>
          <w:lang w:val="zh-CN"/>
        </w:rPr>
        <w:t>八、涉及专利的有关说明</w:t>
      </w:r>
      <w:bookmarkEnd w:id="37"/>
    </w:p>
    <w:p w:rsidR="0027074B" w:rsidRDefault="004B23C3">
      <w:pPr>
        <w:pStyle w:val="13"/>
        <w:ind w:firstLine="560"/>
        <w:rPr>
          <w:rFonts w:eastAsia="黑体"/>
          <w:sz w:val="32"/>
          <w:szCs w:val="32"/>
        </w:rPr>
      </w:pPr>
      <w:r>
        <w:rPr>
          <w:color w:val="auto"/>
          <w:szCs w:val="32"/>
        </w:rPr>
        <w:t>经查，本文件不涉及专利和知识产权情况。</w:t>
      </w:r>
    </w:p>
    <w:p w:rsidR="0027074B" w:rsidRDefault="004B23C3">
      <w:pPr>
        <w:pStyle w:val="1"/>
        <w:spacing w:before="0" w:beforeAutospacing="0" w:after="0" w:afterAutospacing="0"/>
        <w:rPr>
          <w:rFonts w:ascii="Times New Roman" w:eastAsia="黑体" w:hAnsi="Times New Roman" w:cs="Times New Roman"/>
          <w:b w:val="0"/>
          <w:bCs w:val="0"/>
          <w:sz w:val="28"/>
          <w:lang w:val="zh-CN"/>
        </w:rPr>
      </w:pPr>
      <w:bookmarkStart w:id="38" w:name="_Toc203082632"/>
      <w:r>
        <w:rPr>
          <w:rFonts w:ascii="Times New Roman" w:eastAsia="黑体" w:hAnsi="Times New Roman" w:cs="Times New Roman"/>
          <w:sz w:val="28"/>
          <w:lang w:val="zh-CN"/>
        </w:rPr>
        <w:t>九、实施国家标准的要求，以及组织措施、技术措施、过渡期和实施日期的建议等措施建议</w:t>
      </w:r>
      <w:bookmarkEnd w:id="38"/>
    </w:p>
    <w:p w:rsidR="0027074B" w:rsidRDefault="004B23C3">
      <w:pPr>
        <w:pStyle w:val="13"/>
        <w:ind w:firstLine="560"/>
      </w:pPr>
      <w:r>
        <w:rPr>
          <w:color w:val="auto"/>
          <w:szCs w:val="32"/>
        </w:rPr>
        <w:t>本文件立项为推荐性标准，专家组建议作为推荐性标准制定，标准编写组没有异议。按照标准制定工作程序，同意以推荐性标准发布。本文件适用于畜禽养殖场（户）畜禽粪便的就地覆膜堆肥处理，对场地、工艺、无害</w:t>
      </w:r>
      <w:proofErr w:type="gramStart"/>
      <w:r>
        <w:rPr>
          <w:color w:val="auto"/>
          <w:szCs w:val="32"/>
        </w:rPr>
        <w:t>化指标</w:t>
      </w:r>
      <w:proofErr w:type="gramEnd"/>
      <w:r>
        <w:rPr>
          <w:color w:val="auto"/>
          <w:szCs w:val="32"/>
        </w:rPr>
        <w:t>和记录等提出了要求，规范了畜禽粪便从产生到就地就近资源化利用的操作规范和相关的质量判断标准，对促进畜禽养殖粪污资源化利用具有重要的指导意义。</w:t>
      </w:r>
    </w:p>
    <w:p w:rsidR="0027074B" w:rsidRDefault="004B23C3">
      <w:pPr>
        <w:pStyle w:val="1"/>
        <w:spacing w:before="0" w:beforeAutospacing="0" w:after="0" w:afterAutospacing="0"/>
        <w:rPr>
          <w:rFonts w:ascii="Times New Roman" w:eastAsia="黑体" w:hAnsi="Times New Roman" w:cs="Times New Roman"/>
          <w:b w:val="0"/>
          <w:bCs w:val="0"/>
          <w:sz w:val="28"/>
        </w:rPr>
      </w:pPr>
      <w:bookmarkStart w:id="39" w:name="_Toc203082633"/>
      <w:r>
        <w:rPr>
          <w:rFonts w:ascii="Times New Roman" w:eastAsia="黑体" w:hAnsi="Times New Roman" w:cs="Times New Roman"/>
          <w:sz w:val="28"/>
          <w:lang w:val="zh-CN"/>
        </w:rPr>
        <w:t>十、其他应当说明的事项</w:t>
      </w:r>
      <w:bookmarkEnd w:id="39"/>
    </w:p>
    <w:p w:rsidR="0027074B" w:rsidRDefault="00296043" w:rsidP="00296043">
      <w:pPr>
        <w:pStyle w:val="13"/>
        <w:ind w:firstLine="560"/>
        <w:rPr>
          <w:color w:val="auto"/>
          <w:szCs w:val="32"/>
        </w:rPr>
      </w:pPr>
      <w:r>
        <w:rPr>
          <w:color w:val="auto"/>
          <w:szCs w:val="32"/>
        </w:rPr>
        <w:t>本文件属</w:t>
      </w:r>
      <w:r>
        <w:rPr>
          <w:rFonts w:hint="eastAsia"/>
          <w:color w:val="auto"/>
          <w:szCs w:val="32"/>
        </w:rPr>
        <w:t>团体</w:t>
      </w:r>
      <w:r w:rsidR="004B23C3">
        <w:rPr>
          <w:color w:val="auto"/>
          <w:szCs w:val="32"/>
        </w:rPr>
        <w:t>标准，旨在引导和推动我国农牧业实现种养循环、资源可持续，从而促进生态文明建设，符合乡村振兴、</w:t>
      </w:r>
      <w:r w:rsidR="004B23C3">
        <w:rPr>
          <w:color w:val="auto"/>
          <w:szCs w:val="32"/>
        </w:rPr>
        <w:t>“</w:t>
      </w:r>
      <w:r w:rsidR="004B23C3">
        <w:rPr>
          <w:color w:val="auto"/>
          <w:szCs w:val="32"/>
        </w:rPr>
        <w:t>碳中和、碳达峰</w:t>
      </w:r>
      <w:r w:rsidR="004B23C3">
        <w:rPr>
          <w:color w:val="auto"/>
          <w:szCs w:val="32"/>
        </w:rPr>
        <w:t>”</w:t>
      </w:r>
      <w:r w:rsidR="004B23C3">
        <w:rPr>
          <w:color w:val="auto"/>
          <w:szCs w:val="32"/>
        </w:rPr>
        <w:t>和可持续发展等国家重大战略要求，也是保障我国粮食安全的重要举措。编写人员进行了多次国内外专家的咨询，依据现有标准、研究结果和相关专家经验，对其中关键参数进行了确定。因此，本文件是合理、规范且符合未来发展要求的，可作为畜禽粪便就地覆膜堆肥过程各环节的技术参考。</w:t>
      </w:r>
    </w:p>
    <w:sectPr w:rsidR="0027074B">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56B3" w:rsidRDefault="000D56B3">
      <w:pPr>
        <w:spacing w:line="240" w:lineRule="auto"/>
        <w:ind w:firstLine="480"/>
      </w:pPr>
      <w:r>
        <w:separator/>
      </w:r>
    </w:p>
  </w:endnote>
  <w:endnote w:type="continuationSeparator" w:id="0">
    <w:p w:rsidR="000D56B3" w:rsidRDefault="000D56B3">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panose1 w:val="02010609060101010101"/>
    <w:charset w:val="86"/>
    <w:family w:val="modern"/>
    <w:pitch w:val="fixed"/>
    <w:sig w:usb0="800002BF" w:usb1="38CF7CFA" w:usb2="00000016" w:usb3="00000000" w:csb0="00040001" w:csb1="00000000"/>
    <w:embedItalic r:id="rId1" w:subsetted="1" w:fontKey="{42F7F263-F889-4281-880D-C80A11DF731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楷体_GB2312">
    <w:altName w:val="楷体"/>
    <w:panose1 w:val="02010609030101010101"/>
    <w:charset w:val="86"/>
    <w:family w:val="modern"/>
    <w:pitch w:val="fixed"/>
    <w:sig w:usb0="00000001" w:usb1="080E0000" w:usb2="00000010" w:usb3="00000000" w:csb0="00040000" w:csb1="00000000"/>
    <w:embedBold r:id="rId2" w:subsetted="1" w:fontKey="{3E95CC91-33C6-414C-B82C-3AD31B42FE89}"/>
  </w:font>
  <w:font w:name="黑体">
    <w:altName w:val="SimHei"/>
    <w:panose1 w:val="02010609060101010101"/>
    <w:charset w:val="86"/>
    <w:family w:val="modern"/>
    <w:pitch w:val="fixed"/>
    <w:sig w:usb0="800002BF" w:usb1="38CF7CFA" w:usb2="00000016" w:usb3="00000000" w:csb0="00040001" w:csb1="00000000"/>
    <w:embedRegular r:id="rId3" w:subsetted="1" w:fontKey="{5B962DB0-2753-43D6-808D-2636088C59B5}"/>
    <w:embedBold r:id="rId4" w:subsetted="1" w:fontKey="{7D990A9B-3140-4BDE-868A-FF524B94AB11}"/>
  </w:font>
  <w:font w:name="等线">
    <w:altName w:val="DengXian"/>
    <w:panose1 w:val="02010600030101010101"/>
    <w:charset w:val="86"/>
    <w:family w:val="auto"/>
    <w:pitch w:val="variable"/>
    <w:sig w:usb0="A00002BF" w:usb1="38CF7CFA" w:usb2="00000016" w:usb3="00000000" w:csb0="0004000F" w:csb1="00000000"/>
  </w:font>
  <w:font w:name="方正小标宋简体">
    <w:altName w:val="Microsoft YaHei UI"/>
    <w:charset w:val="86"/>
    <w:family w:val="auto"/>
    <w:pitch w:val="default"/>
    <w:sig w:usb0="A00002BF" w:usb1="184F6CFA" w:usb2="00000012" w:usb3="00000000" w:csb0="00040001" w:csb1="00000000"/>
  </w:font>
  <w:font w:name="楷体">
    <w:panose1 w:val="02010609060101010101"/>
    <w:charset w:val="86"/>
    <w:family w:val="modern"/>
    <w:pitch w:val="fixed"/>
    <w:sig w:usb0="800002BF" w:usb1="38CF7CFA" w:usb2="00000016" w:usb3="00000000" w:csb0="00040001" w:csb1="00000000"/>
    <w:embedBold r:id="rId5" w:subsetted="1" w:fontKey="{29B486C6-951B-43BF-9416-B71512B2E6D1}"/>
  </w:font>
  <w:font w:name="仿宋_GB2312">
    <w:panose1 w:val="02010609030101010101"/>
    <w:charset w:val="86"/>
    <w:family w:val="modern"/>
    <w:pitch w:val="fixed"/>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embedBold r:id="rId6" w:subsetted="1" w:fontKey="{5E3AA100-CE87-474D-B226-24BAD3DDA36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3C3" w:rsidRDefault="004B23C3">
    <w:pPr>
      <w:pStyle w:val="a8"/>
      <w:ind w:firstLine="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58500171"/>
    </w:sdtPr>
    <w:sdtEndPr>
      <w:rPr>
        <w:sz w:val="24"/>
        <w:szCs w:val="24"/>
      </w:rPr>
    </w:sdtEndPr>
    <w:sdtContent>
      <w:p w:rsidR="004B23C3" w:rsidRDefault="004B23C3">
        <w:pPr>
          <w:pStyle w:val="a8"/>
          <w:ind w:firstLine="360"/>
          <w:jc w:val="center"/>
          <w:rPr>
            <w:sz w:val="24"/>
            <w:szCs w:val="24"/>
          </w:rPr>
        </w:pPr>
        <w:r>
          <w:rPr>
            <w:sz w:val="24"/>
            <w:szCs w:val="24"/>
          </w:rPr>
          <w:fldChar w:fldCharType="begin"/>
        </w:r>
        <w:r>
          <w:rPr>
            <w:sz w:val="24"/>
            <w:szCs w:val="24"/>
          </w:rPr>
          <w:instrText>PAGE   \* MERGEFORMAT</w:instrText>
        </w:r>
        <w:r>
          <w:rPr>
            <w:sz w:val="24"/>
            <w:szCs w:val="24"/>
          </w:rPr>
          <w:fldChar w:fldCharType="separate"/>
        </w:r>
        <w:r w:rsidR="005624C1" w:rsidRPr="005624C1">
          <w:rPr>
            <w:noProof/>
            <w:sz w:val="24"/>
            <w:szCs w:val="24"/>
            <w:lang w:val="zh-CN"/>
          </w:rPr>
          <w:t>1</w:t>
        </w:r>
        <w:r>
          <w:rPr>
            <w:sz w:val="24"/>
            <w:szCs w:val="24"/>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3C3" w:rsidRDefault="004B23C3">
    <w:pPr>
      <w:pStyle w:val="a8"/>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56B3" w:rsidRDefault="000D56B3">
      <w:pPr>
        <w:ind w:firstLine="480"/>
      </w:pPr>
      <w:r>
        <w:separator/>
      </w:r>
    </w:p>
  </w:footnote>
  <w:footnote w:type="continuationSeparator" w:id="0">
    <w:p w:rsidR="000D56B3" w:rsidRDefault="000D56B3">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3C3" w:rsidRDefault="004B23C3">
    <w:pPr>
      <w:pStyle w:val="aa"/>
      <w:ind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3C3" w:rsidRDefault="004B23C3">
    <w:pPr>
      <w:pStyle w:val="aa"/>
      <w:ind w:firstLine="360"/>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B23C3" w:rsidRDefault="004B23C3">
    <w:pPr>
      <w:pStyle w:val="aa"/>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B010C569"/>
    <w:multiLevelType w:val="singleLevel"/>
    <w:tmpl w:val="B010C569"/>
    <w:lvl w:ilvl="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proofState w:spelling="clean" w:grammar="clean"/>
  <w:defaultTabStop w:val="420"/>
  <w:drawingGridHorizontalSpacing w:val="120"/>
  <w:drawingGridVerticalSpacing w:val="163"/>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GMxNzhmNDNiYzkyMzg5Mjg5NDg2Zjg3NGI3MWEyNjMifQ=="/>
    <w:docVar w:name="NE.Ref{0CF96ADE-1E9F-4937-9C85-FBECAEA95738}" w:val=" ADDIN NE.Ref.{0CF96ADE-1E9F-4937-9C85-FBECAEA95738}&lt;Citation&gt;&lt;Group&gt;&lt;References&gt;&lt;Item&gt;&lt;ID&gt;778&lt;/ID&gt;&lt;UID&gt;{B0FD716A-B407-4605-B534-7D320DBC195E}&lt;/UID&gt;&lt;Title&gt;&amp;lt;i&amp;gt;Escherichia coli&amp;lt;/i&amp;gt; inactivation kinetics in anaerobic digestion of dairy manure under moderate, mesophilic and thermophilic temperatures&lt;/Title&gt;&lt;Template&gt;Journal Article&lt;/Template&gt;&lt;Star&gt;0&lt;/Star&gt;&lt;Tag&gt;0&lt;/Tag&gt;&lt;Author&gt;Pandey, P K; Soupir, M L&lt;/Author&gt;&lt;Year&gt;2011&lt;/Year&gt;&lt;Details&gt;&lt;_alternate_title&gt;AMB EXPRESS&lt;/_alternate_title&gt;&lt;_date_display&gt;2011&lt;/_date_display&gt;&lt;_date&gt;2011-01-01&lt;/_date&gt;&lt;_doi&gt;10.1186/2191-0855-1-18&lt;/_doi&gt;&lt;_isbn&gt;2191-0855&lt;/_isbn&gt;&lt;_journal&gt;AMB EXPRESS&lt;/_journal&gt;&lt;_volume&gt;1&lt;/_volume&gt;&lt;_created&gt;65479347&lt;/_created&gt;&lt;_modified&gt;65479347&lt;/_modified&gt;&lt;_impact_factor&gt;   3.700&lt;/_impact_factor&gt;&lt;_social_category&gt;生物工程与应用微生物(3)&lt;/_social_category&gt;&lt;_collection_scope&gt;SCIE&lt;/_collection_scope&gt;&lt;/Details&gt;&lt;Extra&gt;&lt;DBUID&gt;{DE16ABCE-A785-434C-BF43-2FE58866AFDD}&lt;/DBUID&gt;&lt;/Extra&gt;&lt;/Item&gt;&lt;/References&gt;&lt;/Group&gt;&lt;/Citation&gt;_x000a_"/>
    <w:docVar w:name="NE.Ref{13A55E37-9F21-4F1F-B8ED-9F27EDDFA80D}" w:val=" ADDIN NE.Ref.{13A55E37-9F21-4F1F-B8ED-9F27EDDFA80D}&lt;Citation&gt;&lt;Group&gt;&lt;References&gt;&lt;Item&gt;&lt;ID&gt;779&lt;/ID&gt;&lt;UID&gt;{772BA6F0-74DC-420B-832F-5BA4628FE11F}&lt;/UID&gt;&lt;Title&gt;Screening Escherichia coli, Enterococcus faecalis, and Clostridium perfringens as Indicator Organisms in Evaluating Pathogen-Reducing Capacity in Biogas Plants&lt;/Title&gt;&lt;Template&gt;Journal Article&lt;/Template&gt;&lt;Star&gt;0&lt;/Star&gt;&lt;Tag&gt;0&lt;/Tag&gt;&lt;Author&gt;Watcharasukarn, M; Kaparaju, P; Steyer, J P; Krogfelt, K A; Angelidaki, I&lt;/Author&gt;&lt;Year&gt;2009&lt;/Year&gt;&lt;Details&gt;&lt;_alternate_title&gt;MICROBIAL ECOLOGY&lt;/_alternate_title&gt;&lt;_date_display&gt;2009&lt;/_date_display&gt;&lt;_date&gt;2009-01-01&lt;/_date&gt;&lt;_doi&gt;10.1007/s00248-009-9497-9&lt;/_doi&gt;&lt;_isbn&gt;0095-3628&lt;/_isbn&gt;&lt;_issue&gt;2&lt;/_issue&gt;&lt;_journal&gt;MICROBIAL ECOLOGY&lt;/_journal&gt;&lt;_pages&gt;221-230&lt;/_pages&gt;&lt;_volume&gt;58&lt;/_volume&gt;&lt;_created&gt;65479347&lt;/_created&gt;&lt;_modified&gt;65479347&lt;/_modified&gt;&lt;_impact_factor&gt;   3.600&lt;/_impact_factor&gt;&lt;_social_category&gt;生态学(3) &amp;amp; 海洋与淡水生物学(2) &amp;amp; 微生物学(3)&lt;/_social_category&gt;&lt;_collection_scope&gt;SCIE&lt;/_collection_scope&gt;&lt;/Details&gt;&lt;Extra&gt;&lt;DBUID&gt;{DE16ABCE-A785-434C-BF43-2FE58866AFDD}&lt;/DBUID&gt;&lt;/Extra&gt;&lt;/Item&gt;&lt;/References&gt;&lt;/Group&gt;&lt;/Citation&gt;_x000a_"/>
    <w:docVar w:name="NE.Ref{2109E118-82ED-4FAB-9A1D-7AF7059D5547}" w:val=" ADDIN NE.Ref.{2109E118-82ED-4FAB-9A1D-7AF7059D5547}&lt;Citation&gt;&lt;Group&gt;&lt;References&gt;&lt;Item&gt;&lt;ID&gt;779&lt;/ID&gt;&lt;UID&gt;{772BA6F0-74DC-420B-832F-5BA4628FE11F}&lt;/UID&gt;&lt;Title&gt;Screening Escherichia coli, Enterococcus faecalis, and Clostridium perfringens as Indicator Organisms in Evaluating Pathogen-Reducing Capacity in Biogas Plants&lt;/Title&gt;&lt;Template&gt;Journal Article&lt;/Template&gt;&lt;Star&gt;0&lt;/Star&gt;&lt;Tag&gt;0&lt;/Tag&gt;&lt;Author&gt;Watcharasukarn, M; Kaparaju, P; Steyer, J P; Krogfelt, K A; Angelidaki, I&lt;/Author&gt;&lt;Year&gt;2009&lt;/Year&gt;&lt;Details&gt;&lt;_alternate_title&gt;MICROBIAL ECOLOGY&lt;/_alternate_title&gt;&lt;_date_display&gt;2009&lt;/_date_display&gt;&lt;_date&gt;2009-01-01&lt;/_date&gt;&lt;_doi&gt;10.1007/s00248-009-9497-9&lt;/_doi&gt;&lt;_isbn&gt;0095-3628&lt;/_isbn&gt;&lt;_issue&gt;2&lt;/_issue&gt;&lt;_journal&gt;MICROBIAL ECOLOGY&lt;/_journal&gt;&lt;_pages&gt;221-230&lt;/_pages&gt;&lt;_volume&gt;58&lt;/_volume&gt;&lt;_created&gt;65479347&lt;/_created&gt;&lt;_modified&gt;65479347&lt;/_modified&gt;&lt;_impact_factor&gt;   3.600&lt;/_impact_factor&gt;&lt;_social_category&gt;生态学(3) &amp;amp; 海洋与淡水生物学(2) &amp;amp; 微生物学(3)&lt;/_social_category&gt;&lt;_collection_scope&gt;SCIE&lt;/_collection_scope&gt;&lt;/Details&gt;&lt;Extra&gt;&lt;DBUID&gt;{DE16ABCE-A785-434C-BF43-2FE58866AFDD}&lt;/DBUID&gt;&lt;/Extra&gt;&lt;/Item&gt;&lt;/References&gt;&lt;/Group&gt;&lt;/Citation&gt;_x000a_"/>
    <w:docVar w:name="NE.Ref{2210DB2E-2AD2-49A0-8A9B-6A43EF34BC8F}" w:val=" ADDIN NE.Ref.{2210DB2E-2AD2-49A0-8A9B-6A43EF34BC8F}&lt;Citation&gt;&lt;Group&gt;&lt;References&gt;&lt;Item&gt;&lt;ID&gt;773&lt;/ID&gt;&lt;UID&gt;{86190CAF-5CED-47C0-804D-F765771F64BC}&lt;/UID&gt;&lt;Title&gt;Inactivation of ESBL-/AmpC-producing &amp;lt;i&amp;gt;Escherichia&amp;lt;/i&amp;gt; &amp;lt;i&amp;gt;coli&amp;lt;/i&amp;gt; during mesophilic and thermophilic anaerobic digestion of chicken manure&lt;/Title&gt;&lt;Template&gt;Journal Article&lt;/Template&gt;&lt;Star&gt;0&lt;/Star&gt;&lt;Tag&gt;0&lt;/Tag&gt;&lt;Author&gt;Thomas, C; Idler, C; Ammon, C; Herrmann, C; Amon, T&lt;/Author&gt;&lt;Year&gt;2019&lt;/Year&gt;&lt;Details&gt;&lt;_alternate_title&gt;WASTE MANAGEMENT&lt;/_alternate_title&gt;&lt;_date_display&gt;2019&lt;/_date_display&gt;&lt;_date&gt;2019-01-01&lt;/_date&gt;&lt;_doi&gt;10.1016/j.wasman.2018.11.028&lt;/_doi&gt;&lt;_isbn&gt;0956-053X&lt;/_isbn&gt;&lt;_journal&gt;WASTE MANAGEMENT&lt;/_journal&gt;&lt;_pages&gt;74-82&lt;/_pages&gt;&lt;_volume&gt;84&lt;/_volume&gt;&lt;_created&gt;65479347&lt;/_created&gt;&lt;_modified&gt;65479347&lt;/_modified&gt;&lt;_impact_factor&gt;   8.100&lt;/_impact_factor&gt;&lt;_social_category&gt;工程：环境(2) &amp;amp; 环境科学(2)&lt;/_social_category&gt;&lt;_collection_scope&gt;SCIE;EI&lt;/_collection_scope&gt;&lt;/Details&gt;&lt;Extra&gt;&lt;DBUID&gt;{DE16ABCE-A785-434C-BF43-2FE58866AFDD}&lt;/DBUID&gt;&lt;/Extra&gt;&lt;/Item&gt;&lt;/References&gt;&lt;/Group&gt;&lt;/Citation&gt;_x000a_"/>
    <w:docVar w:name="NE.Ref{4C7ACF66-F440-4A21-920D-CC5158655C7B}" w:val=" ADDIN NE.Ref.{4C7ACF66-F440-4A21-920D-CC5158655C7B}&lt;Citation&gt;&lt;Group&gt;&lt;References&gt;&lt;Item&gt;&lt;ID&gt;777&lt;/ID&gt;&lt;UID&gt;{DBCB3302-6E02-49E8-A8F0-23757C7F35CE}&lt;/UID&gt;&lt;Title&gt;Reactor performance and bacterial pathogen removal in response to sludge retention time in a mesophilic anaerobic digester treating sewage sludge&lt;/Title&gt;&lt;Template&gt;Journal Article&lt;/Template&gt;&lt;Star&gt;0&lt;/Star&gt;&lt;Tag&gt;0&lt;/Tag&gt;&lt;Author&gt;Chen, Y; Fu, B; Wang, Y; Jiang, Q; Liu, H&lt;/Author&gt;&lt;Year&gt;2012&lt;/Year&gt;&lt;Details&gt;&lt;_alternate_title&gt;BIORESOURCE TECHNOLOGY&lt;/_alternate_title&gt;&lt;_date_display&gt;2012&lt;/_date_display&gt;&lt;_date&gt;2012-01-01&lt;/_date&gt;&lt;_doi&gt;10.1016/j.biortech.2011.11.093&lt;/_doi&gt;&lt;_isbn&gt;0960-8524&lt;/_isbn&gt;&lt;_journal&gt;BIORESOURCE TECHNOLOGY&lt;/_journal&gt;&lt;_pages&gt;20-26&lt;/_pages&gt;&lt;_volume&gt;106&lt;/_volume&gt;&lt;_created&gt;65479347&lt;/_created&gt;&lt;_modified&gt;65479347&lt;/_modified&gt;&lt;_impact_factor&gt;  11.400&lt;/_impact_factor&gt;&lt;_social_category&gt;农业工程(1) &amp;amp; 生物工程与应用微生物(1) &amp;amp; 能源与燃料(1)&lt;/_social_category&gt;&lt;_collection_scope&gt;SCIE;EI&lt;/_collection_scope&gt;&lt;/Details&gt;&lt;Extra&gt;&lt;DBUID&gt;{DE16ABCE-A785-434C-BF43-2FE58866AFDD}&lt;/DBUID&gt;&lt;/Extra&gt;&lt;/Item&gt;&lt;/References&gt;&lt;/Group&gt;&lt;/Citation&gt;_x000a_"/>
    <w:docVar w:name="NE.Ref{4FF964AA-5B0E-4ED8-A52E-32F0AFD2B034}" w:val=" ADDIN NE.Ref.{4FF964AA-5B0E-4ED8-A52E-32F0AFD2B034}&lt;Citation&gt;&lt;Group&gt;&lt;References&gt;&lt;Item&gt;&lt;ID&gt;775&lt;/ID&gt;&lt;UID&gt;{3C674BE0-E4CB-4C77-BEF5-C6C10500496F}&lt;/UID&gt;&lt;Title&gt;Spread of multidrug-resistant &amp;lt;i&amp;gt;Escherichia coli&amp;lt;/i&amp;gt; harboring integron via swine farm waste water treatment plant&lt;/Title&gt;&lt;Template&gt;Journal Article&lt;/Template&gt;&lt;Star&gt;0&lt;/Star&gt;&lt;Tag&gt;0&lt;/Tag&gt;&lt;Author&gt;Park, J H; Kim, Y J; Binn-Kim; Seo, K H&lt;/Author&gt;&lt;Year&gt;2018&lt;/Year&gt;&lt;Details&gt;&lt;_alternate_title&gt;ECOTOXICOLOGY AND ENVIRONMENTAL SAFETY&lt;/_alternate_title&gt;&lt;_date_display&gt;2018&lt;/_date_display&gt;&lt;_date&gt;2018-01-01&lt;/_date&gt;&lt;_doi&gt;10.1016/j.ecoenv.2017.10.071&lt;/_doi&gt;&lt;_isbn&gt;0147-6513&lt;/_isbn&gt;&lt;_journal&gt;ECOTOXICOLOGY AND ENVIRONMENTAL SAFETY&lt;/_journal&gt;&lt;_pages&gt;36-42&lt;/_pages&gt;&lt;_volume&gt;149&lt;/_volume&gt;&lt;_created&gt;65479347&lt;/_created&gt;&lt;_modified&gt;65479347&lt;/_modified&gt;&lt;_impact_factor&gt;   6.800&lt;/_impact_factor&gt;&lt;_social_category&gt;环境科学(2) &amp;amp; 毒理学(1)&lt;/_social_category&gt;&lt;_collection_scope&gt;SCIE&lt;/_collection_scope&gt;&lt;/Details&gt;&lt;Extra&gt;&lt;DBUID&gt;{DE16ABCE-A785-434C-BF43-2FE58866AFDD}&lt;/DBUID&gt;&lt;/Extra&gt;&lt;/Item&gt;&lt;/References&gt;&lt;/Group&gt;&lt;/Citation&gt;_x000a_"/>
    <w:docVar w:name="NE.Ref{5C722486-B3E2-4AF6-A5D7-73EBE26D2604}" w:val=" ADDIN NE.Ref.{5C722486-B3E2-4AF6-A5D7-73EBE26D2604}&lt;Citation&gt;&lt;Group&gt;&lt;References&gt;&lt;Item&gt;&lt;ID&gt;781&lt;/ID&gt;&lt;UID&gt;{DEBBC4BE-CBCD-4070-84BF-6954CF05AA59}&lt;/UID&gt;&lt;Title&gt;Reduction of microorganisms in thermophilic process of anaerobic digestion of cattle manure&lt;/Title&gt;&lt;Template&gt;Conference Proceedings&lt;/Template&gt;&lt;Star&gt;0&lt;/Star&gt;&lt;Tag&gt;0&lt;/Tag&gt;&lt;Author&gt;Popova, Teodora Petrova; Zaharinov, Botjo; Kaleva, Merja; Dimitrov, B&lt;/Author&gt;&lt;Year&gt;2013&lt;/Year&gt;&lt;Details&gt;&lt;_created&gt;65479355&lt;/_created&gt;&lt;_modified&gt;65479355&lt;/_modified&gt;&lt;_accessed&gt;65479355&lt;/_accessed&gt;&lt;/Details&gt;&lt;Extra&gt;&lt;DBUID&gt;{DE16ABCE-A785-434C-BF43-2FE58866AFDD}&lt;/DBUID&gt;&lt;/Extra&gt;&lt;/Item&gt;&lt;/References&gt;&lt;/Group&gt;&lt;/Citation&gt;_x000a_"/>
    <w:docVar w:name="NE.Ref{678AB808-E4C0-4093-A01B-7BFA1B22949B}" w:val=" ADDIN NE.Ref.{678AB808-E4C0-4093-A01B-7BFA1B22949B}&lt;Citation&gt;&lt;Group&gt;&lt;References&gt;&lt;Item&gt;&lt;ID&gt;777&lt;/ID&gt;&lt;UID&gt;{DBCB3302-6E02-49E8-A8F0-23757C7F35CE}&lt;/UID&gt;&lt;Title&gt;Reactor performance and bacterial pathogen removal in response to sludge retention time in a mesophilic anaerobic digester treating sewage sludge&lt;/Title&gt;&lt;Template&gt;Journal Article&lt;/Template&gt;&lt;Star&gt;0&lt;/Star&gt;&lt;Tag&gt;0&lt;/Tag&gt;&lt;Author&gt;Chen, Y; Fu, B; Wang, Y; Jiang, Q; Liu, H&lt;/Author&gt;&lt;Year&gt;2012&lt;/Year&gt;&lt;Details&gt;&lt;_alternate_title&gt;BIORESOURCE TECHNOLOGY&lt;/_alternate_title&gt;&lt;_date_display&gt;2012&lt;/_date_display&gt;&lt;_date&gt;2012-01-01&lt;/_date&gt;&lt;_doi&gt;10.1016/j.biortech.2011.11.093&lt;/_doi&gt;&lt;_isbn&gt;0960-8524&lt;/_isbn&gt;&lt;_journal&gt;BIORESOURCE TECHNOLOGY&lt;/_journal&gt;&lt;_pages&gt;20-26&lt;/_pages&gt;&lt;_volume&gt;106&lt;/_volume&gt;&lt;_created&gt;65479347&lt;/_created&gt;&lt;_modified&gt;65479347&lt;/_modified&gt;&lt;_impact_factor&gt;  11.400&lt;/_impact_factor&gt;&lt;_social_category&gt;农业工程(1) &amp;amp; 生物工程与应用微生物(1) &amp;amp; 能源与燃料(1)&lt;/_social_category&gt;&lt;_collection_scope&gt;SCIE;EI&lt;/_collection_scope&gt;&lt;/Details&gt;&lt;Extra&gt;&lt;DBUID&gt;{DE16ABCE-A785-434C-BF43-2FE58866AFDD}&lt;/DBUID&gt;&lt;/Extra&gt;&lt;/Item&gt;&lt;/References&gt;&lt;/Group&gt;&lt;/Citation&gt;_x000a_"/>
    <w:docVar w:name="NE.Ref{71597E78-3044-4FA1-AEEE-F55886E6B56A}" w:val=" ADDIN NE.Ref.{71597E78-3044-4FA1-AEEE-F55886E6B56A}&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Ref{738D1655-53B2-46AC-AD04-67F1FA807C35}" w:val=" ADDIN NE.Ref.{738D1655-53B2-46AC-AD04-67F1FA807C35}&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Ref{75CE10F3-E1D6-40C9-8CFA-6FE45B4B7395}" w:val=" ADDIN NE.Ref.{75CE10F3-E1D6-40C9-8CFA-6FE45B4B7395}&lt;Citation&gt;&lt;Group&gt;&lt;References&gt;&lt;Item&gt;&lt;ID&gt;780&lt;/ID&gt;&lt;UID&gt;{E6DF1FF3-27B7-4503-BF1A-CC7BD0906AEF}&lt;/UID&gt;&lt;Title&gt;Factors controlling pathogen destruction during anaerobic digestion of biowastes&lt;/Title&gt;&lt;Template&gt;Journal Article&lt;/Template&gt;&lt;Star&gt;0&lt;/Star&gt;&lt;Tag&gt;0&lt;/Tag&gt;&lt;Author&gt;Smith, S R; Lang, N L; Cheung, KHM; Spanoudaki, K&lt;/Author&gt;&lt;Year&gt;2005&lt;/Year&gt;&lt;Details&gt;&lt;_alternate_title&gt;WASTE MANAGEMENT&lt;/_alternate_title&gt;&lt;_date_display&gt;2005&lt;/_date_display&gt;&lt;_date&gt;2005-01-01&lt;/_date&gt;&lt;_doi&gt;10.1016/j.wasman.2005.02.010&lt;/_doi&gt;&lt;_isbn&gt;0956-053X&lt;/_isbn&gt;&lt;_issue&gt;4&lt;/_issue&gt;&lt;_journal&gt;WASTE MANAGEMENT&lt;/_journal&gt;&lt;_pages&gt;417-425&lt;/_pages&gt;&lt;_place_published&gt;1st UK Conference on Biodegradable and Residual Waste Management&lt;/_place_published&gt;&lt;_volume&gt;25&lt;/_volume&gt;&lt;_created&gt;65479347&lt;/_created&gt;&lt;_modified&gt;65479347&lt;/_modified&gt;&lt;_impact_factor&gt;   8.100&lt;/_impact_factor&gt;&lt;_social_category&gt;工程：环境(2) &amp;amp; 环境科学(2)&lt;/_social_category&gt;&lt;_collection_scope&gt;SCIE;EI&lt;/_collection_scope&gt;&lt;/Details&gt;&lt;Extra&gt;&lt;DBUID&gt;{DE16ABCE-A785-434C-BF43-2FE58866AFDD}&lt;/DBUID&gt;&lt;/Extra&gt;&lt;/Item&gt;&lt;/References&gt;&lt;/Group&gt;&lt;/Citation&gt;_x000a_"/>
    <w:docVar w:name="NE.Ref{770C8515-2486-44FC-9040-5362570D78A5}" w:val=" ADDIN NE.Ref.{770C8515-2486-44FC-9040-5362570D78A5}&lt;Citation&gt;&lt;Group&gt;&lt;References&gt;&lt;Item&gt;&lt;ID&gt;773&lt;/ID&gt;&lt;UID&gt;{86190CAF-5CED-47C0-804D-F765771F64BC}&lt;/UID&gt;&lt;Title&gt;Inactivation of ESBL-/AmpC-producing &amp;lt;i&amp;gt;Escherichia&amp;lt;/i&amp;gt; &amp;lt;i&amp;gt;coli&amp;lt;/i&amp;gt; during mesophilic and thermophilic anaerobic digestion of chicken manure&lt;/Title&gt;&lt;Template&gt;Journal Article&lt;/Template&gt;&lt;Star&gt;0&lt;/Star&gt;&lt;Tag&gt;0&lt;/Tag&gt;&lt;Author&gt;Thomas, C; Idler, C; Ammon, C; Herrmann, C; Amon, T&lt;/Author&gt;&lt;Year&gt;2019&lt;/Year&gt;&lt;Details&gt;&lt;_alternate_title&gt;WASTE MANAGEMENT&lt;/_alternate_title&gt;&lt;_date_display&gt;2019&lt;/_date_display&gt;&lt;_date&gt;2019-01-01&lt;/_date&gt;&lt;_doi&gt;10.1016/j.wasman.2018.11.028&lt;/_doi&gt;&lt;_isbn&gt;0956-053X&lt;/_isbn&gt;&lt;_journal&gt;WASTE MANAGEMENT&lt;/_journal&gt;&lt;_pages&gt;74-82&lt;/_pages&gt;&lt;_volume&gt;84&lt;/_volume&gt;&lt;_created&gt;65479347&lt;/_created&gt;&lt;_modified&gt;65479347&lt;/_modified&gt;&lt;_impact_factor&gt;   8.100&lt;/_impact_factor&gt;&lt;_social_category&gt;工程：环境(2) &amp;amp; 环境科学(2)&lt;/_social_category&gt;&lt;_collection_scope&gt;SCIE;EI&lt;/_collection_scope&gt;&lt;/Details&gt;&lt;Extra&gt;&lt;DBUID&gt;{DE16ABCE-A785-434C-BF43-2FE58866AFDD}&lt;/DBUID&gt;&lt;/Extra&gt;&lt;/Item&gt;&lt;/References&gt;&lt;/Group&gt;&lt;/Citation&gt;_x000a_"/>
    <w:docVar w:name="NE.Ref{7D7A0F70-88E2-48FF-8C7E-2627BC50E32D}" w:val=" ADDIN NE.Ref.{7D7A0F70-88E2-48FF-8C7E-2627BC50E32D}&lt;Citation&gt;&lt;Group&gt;&lt;References&gt;&lt;Item&gt;&lt;ID&gt;780&lt;/ID&gt;&lt;UID&gt;{E6DF1FF3-27B7-4503-BF1A-CC7BD0906AEF}&lt;/UID&gt;&lt;Title&gt;Factors controlling pathogen destruction during anaerobic digestion of biowastes&lt;/Title&gt;&lt;Template&gt;Journal Article&lt;/Template&gt;&lt;Star&gt;0&lt;/Star&gt;&lt;Tag&gt;0&lt;/Tag&gt;&lt;Author&gt;Smith, S R; Lang, N L; Cheung, KHM; Spanoudaki, K&lt;/Author&gt;&lt;Year&gt;2005&lt;/Year&gt;&lt;Details&gt;&lt;_alternate_title&gt;WASTE MANAGEMENT&lt;/_alternate_title&gt;&lt;_date_display&gt;2005&lt;/_date_display&gt;&lt;_date&gt;2005-01-01&lt;/_date&gt;&lt;_doi&gt;10.1016/j.wasman.2005.02.010&lt;/_doi&gt;&lt;_isbn&gt;0956-053X&lt;/_isbn&gt;&lt;_issue&gt;4&lt;/_issue&gt;&lt;_journal&gt;WASTE MANAGEMENT&lt;/_journal&gt;&lt;_pages&gt;417-425&lt;/_pages&gt;&lt;_place_published&gt;1st UK Conference on Biodegradable and Residual Waste Management&lt;/_place_published&gt;&lt;_volume&gt;25&lt;/_volume&gt;&lt;_created&gt;65479347&lt;/_created&gt;&lt;_modified&gt;65479347&lt;/_modified&gt;&lt;_impact_factor&gt;   8.100&lt;/_impact_factor&gt;&lt;_social_category&gt;工程：环境(2) &amp;amp; 环境科学(2)&lt;/_social_category&gt;&lt;_collection_scope&gt;SCIE;EI&lt;/_collection_scope&gt;&lt;/Details&gt;&lt;Extra&gt;&lt;DBUID&gt;{DE16ABCE-A785-434C-BF43-2FE58866AFDD}&lt;/DBUID&gt;&lt;/Extra&gt;&lt;/Item&gt;&lt;/References&gt;&lt;/Group&gt;&lt;/Citation&gt;_x000a_"/>
    <w:docVar w:name="NE.Ref{7FA77EA1-89D2-49A1-82EE-248CA403A216}" w:val=" ADDIN NE.Ref.{7FA77EA1-89D2-49A1-82EE-248CA403A216}&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Ref{A31C1D8A-CD94-4B89-A65F-7FAC4BD01A74}" w:val=" ADDIN NE.Ref.{A31C1D8A-CD94-4B89-A65F-7FAC4BD01A74}&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Ref{A3C850F6-73AE-49F8-8987-B2E1C07886CA}" w:val=" ADDIN NE.Ref.{A3C850F6-73AE-49F8-8987-B2E1C07886CA}&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Ref{AEB613C6-DF18-4DC8-993C-712BAC4417C2}" w:val=" ADDIN NE.Ref.{AEB613C6-DF18-4DC8-993C-712BAC4417C2}&lt;Citation&gt;&lt;Group&gt;&lt;References&gt;&lt;Item&gt;&lt;ID&gt;777&lt;/ID&gt;&lt;UID&gt;{DBCB3302-6E02-49E8-A8F0-23757C7F35CE}&lt;/UID&gt;&lt;Title&gt;Reactor performance and bacterial pathogen removal in response to sludge retention time in a mesophilic anaerobic digester treating sewage sludge&lt;/Title&gt;&lt;Template&gt;Journal Article&lt;/Template&gt;&lt;Star&gt;0&lt;/Star&gt;&lt;Tag&gt;0&lt;/Tag&gt;&lt;Author&gt;Chen, Y; Fu, B; Wang, Y; Jiang, Q; Liu, H&lt;/Author&gt;&lt;Year&gt;2012&lt;/Year&gt;&lt;Details&gt;&lt;_alternate_title&gt;BIORESOURCE TECHNOLOGY&lt;/_alternate_title&gt;&lt;_date_display&gt;2012&lt;/_date_display&gt;&lt;_date&gt;2012-01-01&lt;/_date&gt;&lt;_doi&gt;10.1016/j.biortech.2011.11.093&lt;/_doi&gt;&lt;_isbn&gt;0960-8524&lt;/_isbn&gt;&lt;_journal&gt;BIORESOURCE TECHNOLOGY&lt;/_journal&gt;&lt;_pages&gt;20-26&lt;/_pages&gt;&lt;_volume&gt;106&lt;/_volume&gt;&lt;_created&gt;65479347&lt;/_created&gt;&lt;_modified&gt;65479347&lt;/_modified&gt;&lt;_impact_factor&gt;  11.400&lt;/_impact_factor&gt;&lt;_social_category&gt;农业工程(1) &amp;amp; 生物工程与应用微生物(1) &amp;amp; 能源与燃料(1)&lt;/_social_category&gt;&lt;_collection_scope&gt;SCIE;EI&lt;/_collection_scope&gt;&lt;/Details&gt;&lt;Extra&gt;&lt;DBUID&gt;{DE16ABCE-A785-434C-BF43-2FE58866AFDD}&lt;/DBUID&gt;&lt;/Extra&gt;&lt;/Item&gt;&lt;/References&gt;&lt;/Group&gt;&lt;/Citation&gt;_x000a_"/>
    <w:docVar w:name="NE.Ref{B2F193B0-332C-4A7A-9CF1-51BF182A1C96}" w:val=" ADDIN NE.Ref.{B2F193B0-332C-4A7A-9CF1-51BF182A1C96}&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Ref{BA46FB71-0201-419D-A117-F894A603EDF3}" w:val=" ADDIN NE.Ref.{BA46FB71-0201-419D-A117-F894A603EDF3}&lt;Citation&gt;&lt;Group&gt;&lt;References&gt;&lt;Item&gt;&lt;ID&gt;773&lt;/ID&gt;&lt;UID&gt;{86190CAF-5CED-47C0-804D-F765771F64BC}&lt;/UID&gt;&lt;Title&gt;Inactivation of ESBL-/AmpC-producing &amp;lt;i&amp;gt;Escherichia&amp;lt;/i&amp;gt; &amp;lt;i&amp;gt;coli&amp;lt;/i&amp;gt; during mesophilic and thermophilic anaerobic digestion of chicken manure&lt;/Title&gt;&lt;Template&gt;Journal Article&lt;/Template&gt;&lt;Star&gt;0&lt;/Star&gt;&lt;Tag&gt;0&lt;/Tag&gt;&lt;Author&gt;Thomas, C; Idler, C; Ammon, C; Herrmann, C; Amon, T&lt;/Author&gt;&lt;Year&gt;2019&lt;/Year&gt;&lt;Details&gt;&lt;_alternate_title&gt;WASTE MANAGEMENT&lt;/_alternate_title&gt;&lt;_date_display&gt;2019&lt;/_date_display&gt;&lt;_date&gt;2019-01-01&lt;/_date&gt;&lt;_doi&gt;10.1016/j.wasman.2018.11.028&lt;/_doi&gt;&lt;_isbn&gt;0956-053X&lt;/_isbn&gt;&lt;_journal&gt;WASTE MANAGEMENT&lt;/_journal&gt;&lt;_pages&gt;74-82&lt;/_pages&gt;&lt;_volume&gt;84&lt;/_volume&gt;&lt;_created&gt;65479347&lt;/_created&gt;&lt;_modified&gt;65479347&lt;/_modified&gt;&lt;_impact_factor&gt;   8.100&lt;/_impact_factor&gt;&lt;_social_category&gt;工程：环境(2) &amp;amp; 环境科学(2)&lt;/_social_category&gt;&lt;_collection_scope&gt;SCIE;EI&lt;/_collection_scope&gt;&lt;/Details&gt;&lt;Extra&gt;&lt;DBUID&gt;{DE16ABCE-A785-434C-BF43-2FE58866AFDD}&lt;/DBUID&gt;&lt;/Extra&gt;&lt;/Item&gt;&lt;/References&gt;&lt;/Group&gt;&lt;/Citation&gt;_x000a_"/>
    <w:docVar w:name="NE.Ref{C1AFE8AB-B52E-4349-96DE-2D1E985B5B04}" w:val=" ADDIN NE.Ref.{C1AFE8AB-B52E-4349-96DE-2D1E985B5B04}&lt;Citation&gt;&lt;Group&gt;&lt;References&gt;&lt;Item&gt;&lt;ID&gt;773&lt;/ID&gt;&lt;UID&gt;{86190CAF-5CED-47C0-804D-F765771F64BC}&lt;/UID&gt;&lt;Title&gt;Inactivation of ESBL-/AmpC-producing &amp;lt;i&amp;gt;Escherichia&amp;lt;/i&amp;gt; &amp;lt;i&amp;gt;coli&amp;lt;/i&amp;gt; during mesophilic and thermophilic anaerobic digestion of chicken manure&lt;/Title&gt;&lt;Template&gt;Journal Article&lt;/Template&gt;&lt;Star&gt;0&lt;/Star&gt;&lt;Tag&gt;0&lt;/Tag&gt;&lt;Author&gt;Thomas, C; Idler, C; Ammon, C; Herrmann, C; Amon, T&lt;/Author&gt;&lt;Year&gt;2019&lt;/Year&gt;&lt;Details&gt;&lt;_alternate_title&gt;WASTE MANAGEMENT&lt;/_alternate_title&gt;&lt;_date_display&gt;2019&lt;/_date_display&gt;&lt;_date&gt;2019-01-01&lt;/_date&gt;&lt;_doi&gt;10.1016/j.wasman.2018.11.028&lt;/_doi&gt;&lt;_isbn&gt;0956-053X&lt;/_isbn&gt;&lt;_journal&gt;WASTE MANAGEMENT&lt;/_journal&gt;&lt;_pages&gt;74-82&lt;/_pages&gt;&lt;_volume&gt;84&lt;/_volume&gt;&lt;_created&gt;65479347&lt;/_created&gt;&lt;_modified&gt;65479347&lt;/_modified&gt;&lt;_impact_factor&gt;   8.100&lt;/_impact_factor&gt;&lt;_social_category&gt;工程：环境(2) &amp;amp; 环境科学(2)&lt;/_social_category&gt;&lt;_collection_scope&gt;SCIE;EI&lt;/_collection_scope&gt;&lt;/Details&gt;&lt;Extra&gt;&lt;DBUID&gt;{DE16ABCE-A785-434C-BF43-2FE58866AFDD}&lt;/DBUID&gt;&lt;/Extra&gt;&lt;/Item&gt;&lt;/References&gt;&lt;/Group&gt;&lt;/Citation&gt;_x000a_"/>
    <w:docVar w:name="NE.Ref{C94C8FE4-3481-42A2-97FF-35F8F281FC72}" w:val=" ADDIN NE.Ref.{C94C8FE4-3481-42A2-97FF-35F8F281FC72}&lt;Citation&gt;&lt;Group&gt;&lt;References&gt;&lt;Item&gt;&lt;ID&gt;779&lt;/ID&gt;&lt;UID&gt;{772BA6F0-74DC-420B-832F-5BA4628FE11F}&lt;/UID&gt;&lt;Title&gt;Screening Escherichia coli, Enterococcus faecalis, and Clostridium perfringens as Indicator Organisms in Evaluating Pathogen-Reducing Capacity in Biogas Plants&lt;/Title&gt;&lt;Template&gt;Journal Article&lt;/Template&gt;&lt;Star&gt;0&lt;/Star&gt;&lt;Tag&gt;0&lt;/Tag&gt;&lt;Author&gt;Watcharasukarn, M; Kaparaju, P; Steyer, J P; Krogfelt, K A; Angelidaki, I&lt;/Author&gt;&lt;Year&gt;2009&lt;/Year&gt;&lt;Details&gt;&lt;_alternate_title&gt;MICROBIAL ECOLOGY&lt;/_alternate_title&gt;&lt;_date_display&gt;2009&lt;/_date_display&gt;&lt;_date&gt;2009-01-01&lt;/_date&gt;&lt;_doi&gt;10.1007/s00248-009-9497-9&lt;/_doi&gt;&lt;_isbn&gt;0095-3628&lt;/_isbn&gt;&lt;_issue&gt;2&lt;/_issue&gt;&lt;_journal&gt;MICROBIAL ECOLOGY&lt;/_journal&gt;&lt;_pages&gt;221-230&lt;/_pages&gt;&lt;_volume&gt;58&lt;/_volume&gt;&lt;_created&gt;65479347&lt;/_created&gt;&lt;_modified&gt;65479347&lt;/_modified&gt;&lt;_impact_factor&gt;   3.600&lt;/_impact_factor&gt;&lt;_social_category&gt;生态学(3) &amp;amp; 海洋与淡水生物学(2) &amp;amp; 微生物学(3)&lt;/_social_category&gt;&lt;_collection_scope&gt;SCIE&lt;/_collection_scope&gt;&lt;/Details&gt;&lt;Extra&gt;&lt;DBUID&gt;{DE16ABCE-A785-434C-BF43-2FE58866AFDD}&lt;/DBUID&gt;&lt;/Extra&gt;&lt;/Item&gt;&lt;/References&gt;&lt;/Group&gt;&lt;/Citation&gt;_x000a_"/>
    <w:docVar w:name="NE.Ref{CFDEFA30-0A36-4311-983C-810C3A331232}" w:val=" ADDIN NE.Ref.{CFDEFA30-0A36-4311-983C-810C3A331232}&lt;Citation&gt;&lt;Group&gt;&lt;References&gt;&lt;Item&gt;&lt;ID&gt;778&lt;/ID&gt;&lt;UID&gt;{B0FD716A-B407-4605-B534-7D320DBC195E}&lt;/UID&gt;&lt;Title&gt;&amp;lt;i&amp;gt;Escherichia coli&amp;lt;/i&amp;gt; inactivation kinetics in anaerobic digestion of dairy manure under moderate, mesophilic and thermophilic temperatures&lt;/Title&gt;&lt;Template&gt;Journal Article&lt;/Template&gt;&lt;Star&gt;0&lt;/Star&gt;&lt;Tag&gt;0&lt;/Tag&gt;&lt;Author&gt;Pandey, P K; Soupir, M L&lt;/Author&gt;&lt;Year&gt;2011&lt;/Year&gt;&lt;Details&gt;&lt;_alternate_title&gt;AMB EXPRESS&lt;/_alternate_title&gt;&lt;_date_display&gt;2011&lt;/_date_display&gt;&lt;_date&gt;2011-01-01&lt;/_date&gt;&lt;_doi&gt;10.1186/2191-0855-1-18&lt;/_doi&gt;&lt;_isbn&gt;2191-0855&lt;/_isbn&gt;&lt;_journal&gt;AMB EXPRESS&lt;/_journal&gt;&lt;_volume&gt;1&lt;/_volume&gt;&lt;_created&gt;65479347&lt;/_created&gt;&lt;_modified&gt;65479347&lt;/_modified&gt;&lt;_impact_factor&gt;   3.700&lt;/_impact_factor&gt;&lt;_social_category&gt;生物工程与应用微生物(3)&lt;/_social_category&gt;&lt;_collection_scope&gt;SCIE&lt;/_collection_scope&gt;&lt;/Details&gt;&lt;Extra&gt;&lt;DBUID&gt;{DE16ABCE-A785-434C-BF43-2FE58866AFDD}&lt;/DBUID&gt;&lt;/Extra&gt;&lt;/Item&gt;&lt;/References&gt;&lt;/Group&gt;&lt;/Citation&gt;_x000a_"/>
    <w:docVar w:name="NE.Ref{DC14224B-CA58-4FBB-8526-3A161C156C7A}" w:val=" ADDIN NE.Ref.{DC14224B-CA58-4FBB-8526-3A161C156C7A}&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Ref{DC7E0B91-38B2-41AB-AA14-B4B8FFAEB969}" w:val=" ADDIN NE.Ref.{DC7E0B91-38B2-41AB-AA14-B4B8FFAEB969}&lt;Citation&gt;&lt;Group&gt;&lt;References&gt;&lt;Item&gt;&lt;ID&gt;776&lt;/ID&gt;&lt;UID&gt;{23B5D13A-D895-4915-9DB8-60603560D106}&lt;/UID&gt;&lt;Title&gt;Inactivation of Selected Bacterial Pathogens in Dairy Cattle Manure by Mesophilic Anaerobic Digestion (Balloon Type Digester)&lt;/Title&gt;&lt;Template&gt;Journal Article&lt;/Template&gt;&lt;Star&gt;0&lt;/Star&gt;&lt;Tag&gt;0&lt;/Tag&gt;&lt;Author&gt;Manyi-Loh, C E; Mamphweli, S N; Meyer, E L; Okoh, A I; Makaka, G; Simon, M&lt;/Author&gt;&lt;Year&gt;2014&lt;/Year&gt;&lt;Details&gt;&lt;_alternate_title&gt;INTERNATIONAL JOURNAL OF ENVIRONMENTAL RESEARCH AND PUBLIC HEALTH&lt;/_alternate_title&gt;&lt;_date_display&gt;2014&lt;/_date_display&gt;&lt;_date&gt;2014-01-01&lt;/_date&gt;&lt;_doi&gt;10.3390/ijerph110707184&lt;/_doi&gt;&lt;_isbn&gt;1660-4601&lt;/_isbn&gt;&lt;_issue&gt;7&lt;/_issue&gt;&lt;_journal&gt;INTERNATIONAL JOURNAL OF ENVIRONMENTAL RESEARCH AND PUBLIC HEALTH&lt;/_journal&gt;&lt;_pages&gt;7184-7194&lt;/_pages&gt;&lt;_volume&gt;11&lt;/_volume&gt;&lt;_created&gt;65479347&lt;/_created&gt;&lt;_modified&gt;65479347&lt;/_modified&gt;&lt;/Details&gt;&lt;Extra&gt;&lt;DBUID&gt;{DE16ABCE-A785-434C-BF43-2FE58866AFDD}&lt;/DBUID&gt;&lt;/Extra&gt;&lt;/Item&gt;&lt;/References&gt;&lt;/Group&gt;&lt;/Citation&gt;_x000a_"/>
    <w:docVar w:name="NE.Ref{DD826ED7-8DF4-4461-AB5B-74453063925B}" w:val=" ADDIN NE.Ref.{DD826ED7-8DF4-4461-AB5B-74453063925B}&lt;Citation&gt;&lt;Group&gt;&lt;References&gt;&lt;Item&gt;&lt;ID&gt;780&lt;/ID&gt;&lt;UID&gt;{E6DF1FF3-27B7-4503-BF1A-CC7BD0906AEF}&lt;/UID&gt;&lt;Title&gt;Factors controlling pathogen destruction during anaerobic digestion of biowastes&lt;/Title&gt;&lt;Template&gt;Journal Article&lt;/Template&gt;&lt;Star&gt;0&lt;/Star&gt;&lt;Tag&gt;0&lt;/Tag&gt;&lt;Author&gt;Smith, S R; Lang, N L; Cheung, KHM; Spanoudaki, K&lt;/Author&gt;&lt;Year&gt;2005&lt;/Year&gt;&lt;Details&gt;&lt;_alternate_title&gt;WASTE MANAGEMENT&lt;/_alternate_title&gt;&lt;_date_display&gt;2005&lt;/_date_display&gt;&lt;_date&gt;2005-01-01&lt;/_date&gt;&lt;_doi&gt;10.1016/j.wasman.2005.02.010&lt;/_doi&gt;&lt;_isbn&gt;0956-053X&lt;/_isbn&gt;&lt;_issue&gt;4&lt;/_issue&gt;&lt;_journal&gt;WASTE MANAGEMENT&lt;/_journal&gt;&lt;_pages&gt;417-425&lt;/_pages&gt;&lt;_place_published&gt;1st UK Conference on Biodegradable and Residual Waste Management&lt;/_place_published&gt;&lt;_volume&gt;25&lt;/_volume&gt;&lt;_created&gt;65479347&lt;/_created&gt;&lt;_modified&gt;65479347&lt;/_modified&gt;&lt;_impact_factor&gt;   8.100&lt;/_impact_factor&gt;&lt;_social_category&gt;工程：环境(2) &amp;amp; 环境科学(2)&lt;/_social_category&gt;&lt;_collection_scope&gt;SCIE;EI&lt;/_collection_scope&gt;&lt;/Details&gt;&lt;Extra&gt;&lt;DBUID&gt;{DE16ABCE-A785-434C-BF43-2FE58866AFDD}&lt;/DBUID&gt;&lt;/Extra&gt;&lt;/Item&gt;&lt;/References&gt;&lt;/Group&gt;&lt;/Citation&gt;_x000a_"/>
    <w:docVar w:name="NE.Ref{FF93C5A3-3606-44A7-A7B2-0FA16E1E626E}" w:val=" ADDIN NE.Ref.{FF93C5A3-3606-44A7-A7B2-0FA16E1E626E}&lt;Citation&gt;&lt;Group&gt;&lt;References&gt;&lt;Item&gt;&lt;ID&gt;774&lt;/ID&gt;&lt;UID&gt;{83B51C1C-12C0-4EE7-8749-F7D4857CDDD0}&lt;/UID&gt;&lt;Title&gt;Escherichia coli persistence kinetics in dairy manure at moderate, mesophilic, and thermophilic temperatures under aerobic and anaerobic environments (vol 38, pg 457, 2015)&lt;/Title&gt;&lt;Template&gt;Journal Article&lt;/Template&gt;&lt;Star&gt;0&lt;/Star&gt;&lt;Tag&gt;0&lt;/Tag&gt;&lt;Author&gt;Pandey, P K; Biswas, S; Vaddella, V K; Soupir, M L&lt;/Author&gt;&lt;Year&gt;2018&lt;/Year&gt;&lt;Details&gt;&lt;_alternate_title&gt;BIOPROCESS AND BIOSYSTEMS ENGINEERING&lt;/_alternate_title&gt;&lt;_date_display&gt;2018&lt;/_date_display&gt;&lt;_date&gt;2018-01-01&lt;/_date&gt;&lt;_doi&gt;10.1007/s00449-018-1936-x&lt;/_doi&gt;&lt;_isbn&gt;1615-7591&lt;/_isbn&gt;&lt;_issue&gt;6&lt;/_issue&gt;&lt;_journal&gt;BIOPROCESS AND BIOSYSTEMS ENGINEERING&lt;/_journal&gt;&lt;_pages&gt;887-887&lt;/_pages&gt;&lt;_volume&gt;41&lt;/_volume&gt;&lt;_created&gt;65479347&lt;/_created&gt;&lt;_modified&gt;65479347&lt;/_modified&gt;&lt;_impact_factor&gt;   3.800&lt;/_impact_factor&gt;&lt;_social_category&gt;生物工程与应用微生物(3) &amp;amp; 工程：化工(3)&lt;/_social_category&gt;&lt;_collection_scope&gt;SCIE;EI&lt;/_collection_scope&gt;&lt;/Details&gt;&lt;Extra&gt;&lt;DBUID&gt;{DE16ABCE-A785-434C-BF43-2FE58866AFDD}&lt;/DBUID&gt;&lt;/Extra&gt;&lt;/Item&gt;&lt;/References&gt;&lt;/Group&gt;&lt;/Citation&gt;_x000a_"/>
    <w:docVar w:name="ne_docsoft" w:val="MSWord"/>
    <w:docVar w:name="ne_docversion" w:val="NoteExpress 2.0"/>
    <w:docVar w:name="ne_stylename" w:val="中华人民共和国国家标准_GBT_7714-2005"/>
  </w:docVars>
  <w:rsids>
    <w:rsidRoot w:val="001B37B0"/>
    <w:rsid w:val="EB5F63C3"/>
    <w:rsid w:val="0000099C"/>
    <w:rsid w:val="00005145"/>
    <w:rsid w:val="00011E94"/>
    <w:rsid w:val="000250A2"/>
    <w:rsid w:val="00025844"/>
    <w:rsid w:val="00030398"/>
    <w:rsid w:val="0003245F"/>
    <w:rsid w:val="00034804"/>
    <w:rsid w:val="000358DC"/>
    <w:rsid w:val="0004165E"/>
    <w:rsid w:val="000416C4"/>
    <w:rsid w:val="00045020"/>
    <w:rsid w:val="00047BCC"/>
    <w:rsid w:val="0005050E"/>
    <w:rsid w:val="000522CE"/>
    <w:rsid w:val="0005576B"/>
    <w:rsid w:val="00067CB1"/>
    <w:rsid w:val="00071BF6"/>
    <w:rsid w:val="0008475E"/>
    <w:rsid w:val="0009504A"/>
    <w:rsid w:val="0009553F"/>
    <w:rsid w:val="0009725D"/>
    <w:rsid w:val="000A05FE"/>
    <w:rsid w:val="000A2208"/>
    <w:rsid w:val="000B2CE5"/>
    <w:rsid w:val="000B7A84"/>
    <w:rsid w:val="000C5751"/>
    <w:rsid w:val="000D129A"/>
    <w:rsid w:val="000D56B3"/>
    <w:rsid w:val="000D5C30"/>
    <w:rsid w:val="000E5511"/>
    <w:rsid w:val="000E70ED"/>
    <w:rsid w:val="000F12ED"/>
    <w:rsid w:val="0010233D"/>
    <w:rsid w:val="001029FC"/>
    <w:rsid w:val="00105656"/>
    <w:rsid w:val="00114899"/>
    <w:rsid w:val="00116933"/>
    <w:rsid w:val="001174A9"/>
    <w:rsid w:val="00123843"/>
    <w:rsid w:val="00127871"/>
    <w:rsid w:val="0013696D"/>
    <w:rsid w:val="00136BAA"/>
    <w:rsid w:val="0013700D"/>
    <w:rsid w:val="00143A4C"/>
    <w:rsid w:val="00144A10"/>
    <w:rsid w:val="0015335F"/>
    <w:rsid w:val="001541AC"/>
    <w:rsid w:val="00154FD8"/>
    <w:rsid w:val="00161552"/>
    <w:rsid w:val="00163F3F"/>
    <w:rsid w:val="001664D8"/>
    <w:rsid w:val="001751E1"/>
    <w:rsid w:val="00181414"/>
    <w:rsid w:val="00183BD6"/>
    <w:rsid w:val="00186A3B"/>
    <w:rsid w:val="00194014"/>
    <w:rsid w:val="001960ED"/>
    <w:rsid w:val="00197FFC"/>
    <w:rsid w:val="001A0A38"/>
    <w:rsid w:val="001A1EBB"/>
    <w:rsid w:val="001A4B8F"/>
    <w:rsid w:val="001B0384"/>
    <w:rsid w:val="001B2EF6"/>
    <w:rsid w:val="001B37B0"/>
    <w:rsid w:val="001B3817"/>
    <w:rsid w:val="001B456B"/>
    <w:rsid w:val="001B74A7"/>
    <w:rsid w:val="001B7D2C"/>
    <w:rsid w:val="001C1419"/>
    <w:rsid w:val="001C203B"/>
    <w:rsid w:val="001C248B"/>
    <w:rsid w:val="001C4ED5"/>
    <w:rsid w:val="001C65FF"/>
    <w:rsid w:val="001D68D6"/>
    <w:rsid w:val="001E1EF5"/>
    <w:rsid w:val="001E4274"/>
    <w:rsid w:val="001E64B8"/>
    <w:rsid w:val="001F4E91"/>
    <w:rsid w:val="001F5CB1"/>
    <w:rsid w:val="001F60F0"/>
    <w:rsid w:val="001F7D44"/>
    <w:rsid w:val="00202ACB"/>
    <w:rsid w:val="00204ACC"/>
    <w:rsid w:val="00206644"/>
    <w:rsid w:val="00215C14"/>
    <w:rsid w:val="00217204"/>
    <w:rsid w:val="00221775"/>
    <w:rsid w:val="002242C2"/>
    <w:rsid w:val="00227BC7"/>
    <w:rsid w:val="00231372"/>
    <w:rsid w:val="00234C29"/>
    <w:rsid w:val="0024263F"/>
    <w:rsid w:val="002435F9"/>
    <w:rsid w:val="00244E3A"/>
    <w:rsid w:val="002457B8"/>
    <w:rsid w:val="00247E9A"/>
    <w:rsid w:val="00257858"/>
    <w:rsid w:val="002606CC"/>
    <w:rsid w:val="002643CB"/>
    <w:rsid w:val="00266551"/>
    <w:rsid w:val="00266C1D"/>
    <w:rsid w:val="0027074B"/>
    <w:rsid w:val="00270F78"/>
    <w:rsid w:val="002735FE"/>
    <w:rsid w:val="002760A7"/>
    <w:rsid w:val="0027739F"/>
    <w:rsid w:val="00277D08"/>
    <w:rsid w:val="0029227C"/>
    <w:rsid w:val="00296043"/>
    <w:rsid w:val="002968EE"/>
    <w:rsid w:val="00297922"/>
    <w:rsid w:val="002A027F"/>
    <w:rsid w:val="002A3137"/>
    <w:rsid w:val="002A5DEE"/>
    <w:rsid w:val="002B1CFA"/>
    <w:rsid w:val="002B23ED"/>
    <w:rsid w:val="002B352C"/>
    <w:rsid w:val="002B4AE9"/>
    <w:rsid w:val="002B7A44"/>
    <w:rsid w:val="002D040B"/>
    <w:rsid w:val="002D1AB9"/>
    <w:rsid w:val="002D295D"/>
    <w:rsid w:val="002D3313"/>
    <w:rsid w:val="002D439E"/>
    <w:rsid w:val="002D76DB"/>
    <w:rsid w:val="002D77CB"/>
    <w:rsid w:val="002E02AD"/>
    <w:rsid w:val="002E1C17"/>
    <w:rsid w:val="002E36CA"/>
    <w:rsid w:val="002E47FC"/>
    <w:rsid w:val="002E717B"/>
    <w:rsid w:val="00301B8E"/>
    <w:rsid w:val="00302404"/>
    <w:rsid w:val="00302E86"/>
    <w:rsid w:val="00306B58"/>
    <w:rsid w:val="00307B03"/>
    <w:rsid w:val="003102D0"/>
    <w:rsid w:val="003233A2"/>
    <w:rsid w:val="00325F21"/>
    <w:rsid w:val="00327A15"/>
    <w:rsid w:val="003323A2"/>
    <w:rsid w:val="003340C8"/>
    <w:rsid w:val="0033722B"/>
    <w:rsid w:val="00343D45"/>
    <w:rsid w:val="003457F2"/>
    <w:rsid w:val="00346E6D"/>
    <w:rsid w:val="0034782A"/>
    <w:rsid w:val="00351A18"/>
    <w:rsid w:val="00353639"/>
    <w:rsid w:val="003540D7"/>
    <w:rsid w:val="00356CDE"/>
    <w:rsid w:val="00363830"/>
    <w:rsid w:val="00365903"/>
    <w:rsid w:val="0036642F"/>
    <w:rsid w:val="00373159"/>
    <w:rsid w:val="00380E5F"/>
    <w:rsid w:val="00385343"/>
    <w:rsid w:val="003876F1"/>
    <w:rsid w:val="0039051C"/>
    <w:rsid w:val="0039097B"/>
    <w:rsid w:val="00393B34"/>
    <w:rsid w:val="00394A88"/>
    <w:rsid w:val="003A174B"/>
    <w:rsid w:val="003C0EB5"/>
    <w:rsid w:val="003C3DCF"/>
    <w:rsid w:val="003D0692"/>
    <w:rsid w:val="003D3F54"/>
    <w:rsid w:val="003D50BF"/>
    <w:rsid w:val="003D5B31"/>
    <w:rsid w:val="003D7760"/>
    <w:rsid w:val="003E12B5"/>
    <w:rsid w:val="003E570A"/>
    <w:rsid w:val="003F26EF"/>
    <w:rsid w:val="00410608"/>
    <w:rsid w:val="00411036"/>
    <w:rsid w:val="00411E55"/>
    <w:rsid w:val="004126A7"/>
    <w:rsid w:val="00415969"/>
    <w:rsid w:val="00415F4E"/>
    <w:rsid w:val="004172F9"/>
    <w:rsid w:val="00417BEC"/>
    <w:rsid w:val="00420739"/>
    <w:rsid w:val="004226A0"/>
    <w:rsid w:val="00426066"/>
    <w:rsid w:val="004317CC"/>
    <w:rsid w:val="004330C6"/>
    <w:rsid w:val="004343E7"/>
    <w:rsid w:val="004363D9"/>
    <w:rsid w:val="00441C79"/>
    <w:rsid w:val="00447253"/>
    <w:rsid w:val="004542E2"/>
    <w:rsid w:val="004561AF"/>
    <w:rsid w:val="00464072"/>
    <w:rsid w:val="00466944"/>
    <w:rsid w:val="00467502"/>
    <w:rsid w:val="004703D6"/>
    <w:rsid w:val="00471B19"/>
    <w:rsid w:val="0047300D"/>
    <w:rsid w:val="00485885"/>
    <w:rsid w:val="00487D95"/>
    <w:rsid w:val="00493FC5"/>
    <w:rsid w:val="00496D46"/>
    <w:rsid w:val="0049780A"/>
    <w:rsid w:val="004A30FB"/>
    <w:rsid w:val="004A4359"/>
    <w:rsid w:val="004A6B08"/>
    <w:rsid w:val="004B23C3"/>
    <w:rsid w:val="004C7FD6"/>
    <w:rsid w:val="004D6706"/>
    <w:rsid w:val="004E6070"/>
    <w:rsid w:val="004E70E6"/>
    <w:rsid w:val="004F0AEB"/>
    <w:rsid w:val="00500138"/>
    <w:rsid w:val="00503CAF"/>
    <w:rsid w:val="0050433E"/>
    <w:rsid w:val="0050527E"/>
    <w:rsid w:val="00513E59"/>
    <w:rsid w:val="00521270"/>
    <w:rsid w:val="00521BCF"/>
    <w:rsid w:val="00522C61"/>
    <w:rsid w:val="00522ED9"/>
    <w:rsid w:val="005318C3"/>
    <w:rsid w:val="00531BF2"/>
    <w:rsid w:val="00547556"/>
    <w:rsid w:val="00554452"/>
    <w:rsid w:val="00556F1A"/>
    <w:rsid w:val="005624C1"/>
    <w:rsid w:val="0056274F"/>
    <w:rsid w:val="00566338"/>
    <w:rsid w:val="00566E6E"/>
    <w:rsid w:val="005672C4"/>
    <w:rsid w:val="00576E6E"/>
    <w:rsid w:val="005803BD"/>
    <w:rsid w:val="005803CA"/>
    <w:rsid w:val="00580E93"/>
    <w:rsid w:val="005829C9"/>
    <w:rsid w:val="00592D6E"/>
    <w:rsid w:val="00596A32"/>
    <w:rsid w:val="00596CA6"/>
    <w:rsid w:val="005A03B5"/>
    <w:rsid w:val="005A045C"/>
    <w:rsid w:val="005A2990"/>
    <w:rsid w:val="005A52E6"/>
    <w:rsid w:val="005C0A49"/>
    <w:rsid w:val="005C21F6"/>
    <w:rsid w:val="005C39AF"/>
    <w:rsid w:val="005C5D37"/>
    <w:rsid w:val="005E0A36"/>
    <w:rsid w:val="005E32B7"/>
    <w:rsid w:val="005E3B24"/>
    <w:rsid w:val="005E540A"/>
    <w:rsid w:val="005E63F9"/>
    <w:rsid w:val="005F1C14"/>
    <w:rsid w:val="005F47A3"/>
    <w:rsid w:val="00612476"/>
    <w:rsid w:val="00623B17"/>
    <w:rsid w:val="00625CFA"/>
    <w:rsid w:val="0062653F"/>
    <w:rsid w:val="006313E9"/>
    <w:rsid w:val="006358CD"/>
    <w:rsid w:val="00657E1E"/>
    <w:rsid w:val="00663171"/>
    <w:rsid w:val="00671EEB"/>
    <w:rsid w:val="0068134F"/>
    <w:rsid w:val="00686029"/>
    <w:rsid w:val="0069209D"/>
    <w:rsid w:val="00695B71"/>
    <w:rsid w:val="00697D4F"/>
    <w:rsid w:val="006A225A"/>
    <w:rsid w:val="006A5337"/>
    <w:rsid w:val="006A70C6"/>
    <w:rsid w:val="006B2BC0"/>
    <w:rsid w:val="006B3828"/>
    <w:rsid w:val="006B4EB6"/>
    <w:rsid w:val="006B5410"/>
    <w:rsid w:val="006C3C6A"/>
    <w:rsid w:val="006C6B0E"/>
    <w:rsid w:val="006D0919"/>
    <w:rsid w:val="006D3DDC"/>
    <w:rsid w:val="006D49A5"/>
    <w:rsid w:val="006D4DC7"/>
    <w:rsid w:val="006D5579"/>
    <w:rsid w:val="006D57E0"/>
    <w:rsid w:val="006E00FF"/>
    <w:rsid w:val="006E0BDE"/>
    <w:rsid w:val="006E1248"/>
    <w:rsid w:val="006E352F"/>
    <w:rsid w:val="00700BEC"/>
    <w:rsid w:val="00702185"/>
    <w:rsid w:val="00705116"/>
    <w:rsid w:val="00706641"/>
    <w:rsid w:val="00710879"/>
    <w:rsid w:val="00713BF9"/>
    <w:rsid w:val="0072052B"/>
    <w:rsid w:val="0072067E"/>
    <w:rsid w:val="00722A62"/>
    <w:rsid w:val="00723E10"/>
    <w:rsid w:val="00730E5C"/>
    <w:rsid w:val="00750C8E"/>
    <w:rsid w:val="007516DF"/>
    <w:rsid w:val="00751C8F"/>
    <w:rsid w:val="00752B54"/>
    <w:rsid w:val="00760CC1"/>
    <w:rsid w:val="00773712"/>
    <w:rsid w:val="0078259D"/>
    <w:rsid w:val="00784837"/>
    <w:rsid w:val="0079300B"/>
    <w:rsid w:val="00794359"/>
    <w:rsid w:val="007A17F1"/>
    <w:rsid w:val="007A256F"/>
    <w:rsid w:val="007A35AA"/>
    <w:rsid w:val="007B27AE"/>
    <w:rsid w:val="007B27D9"/>
    <w:rsid w:val="007B323C"/>
    <w:rsid w:val="007C40E9"/>
    <w:rsid w:val="007D0038"/>
    <w:rsid w:val="007D34F5"/>
    <w:rsid w:val="007D4B97"/>
    <w:rsid w:val="007E1558"/>
    <w:rsid w:val="007E3D54"/>
    <w:rsid w:val="007E414C"/>
    <w:rsid w:val="007F0467"/>
    <w:rsid w:val="007F0DA2"/>
    <w:rsid w:val="007F4EF5"/>
    <w:rsid w:val="007F725D"/>
    <w:rsid w:val="00801408"/>
    <w:rsid w:val="00813C39"/>
    <w:rsid w:val="00831A0B"/>
    <w:rsid w:val="00834103"/>
    <w:rsid w:val="00835F3C"/>
    <w:rsid w:val="00844FE2"/>
    <w:rsid w:val="00852C68"/>
    <w:rsid w:val="008556B4"/>
    <w:rsid w:val="00855989"/>
    <w:rsid w:val="00871D96"/>
    <w:rsid w:val="0087346D"/>
    <w:rsid w:val="00876A70"/>
    <w:rsid w:val="00883CAA"/>
    <w:rsid w:val="00887767"/>
    <w:rsid w:val="00891844"/>
    <w:rsid w:val="008931E3"/>
    <w:rsid w:val="008939FE"/>
    <w:rsid w:val="008A10FB"/>
    <w:rsid w:val="008A3106"/>
    <w:rsid w:val="008A7E2D"/>
    <w:rsid w:val="008B13CD"/>
    <w:rsid w:val="008B277A"/>
    <w:rsid w:val="008B776B"/>
    <w:rsid w:val="008C33A2"/>
    <w:rsid w:val="008C5C70"/>
    <w:rsid w:val="008C7752"/>
    <w:rsid w:val="008D78DB"/>
    <w:rsid w:val="008E1836"/>
    <w:rsid w:val="008E19F7"/>
    <w:rsid w:val="008E61A5"/>
    <w:rsid w:val="008F4947"/>
    <w:rsid w:val="009056DB"/>
    <w:rsid w:val="00914BEC"/>
    <w:rsid w:val="0091713D"/>
    <w:rsid w:val="009171A6"/>
    <w:rsid w:val="00933101"/>
    <w:rsid w:val="009338AC"/>
    <w:rsid w:val="009344EC"/>
    <w:rsid w:val="00941442"/>
    <w:rsid w:val="00943A54"/>
    <w:rsid w:val="00945589"/>
    <w:rsid w:val="00956492"/>
    <w:rsid w:val="009572FB"/>
    <w:rsid w:val="00970BC2"/>
    <w:rsid w:val="00971355"/>
    <w:rsid w:val="00976149"/>
    <w:rsid w:val="00981CF4"/>
    <w:rsid w:val="00983DB2"/>
    <w:rsid w:val="00984007"/>
    <w:rsid w:val="00986DF8"/>
    <w:rsid w:val="00987B37"/>
    <w:rsid w:val="009A27C7"/>
    <w:rsid w:val="009A5705"/>
    <w:rsid w:val="009B2697"/>
    <w:rsid w:val="009B5ECF"/>
    <w:rsid w:val="009C03F2"/>
    <w:rsid w:val="009C3C5E"/>
    <w:rsid w:val="009C6C30"/>
    <w:rsid w:val="009D052B"/>
    <w:rsid w:val="009D0E1E"/>
    <w:rsid w:val="009D72B9"/>
    <w:rsid w:val="009F691B"/>
    <w:rsid w:val="009F7268"/>
    <w:rsid w:val="009F7CBE"/>
    <w:rsid w:val="00A024FF"/>
    <w:rsid w:val="00A030AA"/>
    <w:rsid w:val="00A03C50"/>
    <w:rsid w:val="00A0523B"/>
    <w:rsid w:val="00A067DE"/>
    <w:rsid w:val="00A07952"/>
    <w:rsid w:val="00A14D62"/>
    <w:rsid w:val="00A166DE"/>
    <w:rsid w:val="00A22771"/>
    <w:rsid w:val="00A34235"/>
    <w:rsid w:val="00A40317"/>
    <w:rsid w:val="00A418E3"/>
    <w:rsid w:val="00A43F14"/>
    <w:rsid w:val="00A4406C"/>
    <w:rsid w:val="00A46616"/>
    <w:rsid w:val="00A46A8D"/>
    <w:rsid w:val="00A523B8"/>
    <w:rsid w:val="00A60255"/>
    <w:rsid w:val="00A6055D"/>
    <w:rsid w:val="00A64099"/>
    <w:rsid w:val="00A65EB8"/>
    <w:rsid w:val="00A67C56"/>
    <w:rsid w:val="00A70871"/>
    <w:rsid w:val="00A72558"/>
    <w:rsid w:val="00A9488D"/>
    <w:rsid w:val="00A976D0"/>
    <w:rsid w:val="00AA1F56"/>
    <w:rsid w:val="00AA335C"/>
    <w:rsid w:val="00AA5190"/>
    <w:rsid w:val="00AA6224"/>
    <w:rsid w:val="00AB006A"/>
    <w:rsid w:val="00AB24FF"/>
    <w:rsid w:val="00AB78D0"/>
    <w:rsid w:val="00AC11A7"/>
    <w:rsid w:val="00AC303E"/>
    <w:rsid w:val="00AC370D"/>
    <w:rsid w:val="00AC7877"/>
    <w:rsid w:val="00AD2D34"/>
    <w:rsid w:val="00AD5894"/>
    <w:rsid w:val="00AD7DB3"/>
    <w:rsid w:val="00AE136D"/>
    <w:rsid w:val="00AE188F"/>
    <w:rsid w:val="00AE39DC"/>
    <w:rsid w:val="00AE43BD"/>
    <w:rsid w:val="00AE6CB7"/>
    <w:rsid w:val="00AE73B2"/>
    <w:rsid w:val="00B07A78"/>
    <w:rsid w:val="00B11E00"/>
    <w:rsid w:val="00B146E9"/>
    <w:rsid w:val="00B15D3A"/>
    <w:rsid w:val="00B20DA1"/>
    <w:rsid w:val="00B27073"/>
    <w:rsid w:val="00B27AF7"/>
    <w:rsid w:val="00B27C5B"/>
    <w:rsid w:val="00B27DF6"/>
    <w:rsid w:val="00B31CF7"/>
    <w:rsid w:val="00B417F6"/>
    <w:rsid w:val="00B42BB9"/>
    <w:rsid w:val="00B4437C"/>
    <w:rsid w:val="00B5463D"/>
    <w:rsid w:val="00B55DC0"/>
    <w:rsid w:val="00B645D4"/>
    <w:rsid w:val="00B6671B"/>
    <w:rsid w:val="00B75D84"/>
    <w:rsid w:val="00B774D1"/>
    <w:rsid w:val="00B81621"/>
    <w:rsid w:val="00B82370"/>
    <w:rsid w:val="00B82615"/>
    <w:rsid w:val="00B9030D"/>
    <w:rsid w:val="00B97587"/>
    <w:rsid w:val="00B97DEB"/>
    <w:rsid w:val="00BB2927"/>
    <w:rsid w:val="00BB5983"/>
    <w:rsid w:val="00BC2AB0"/>
    <w:rsid w:val="00BC3345"/>
    <w:rsid w:val="00BC3C23"/>
    <w:rsid w:val="00BC3C86"/>
    <w:rsid w:val="00BC59E5"/>
    <w:rsid w:val="00BC752A"/>
    <w:rsid w:val="00BE021A"/>
    <w:rsid w:val="00BE06D2"/>
    <w:rsid w:val="00BE1C4A"/>
    <w:rsid w:val="00BE738F"/>
    <w:rsid w:val="00BF70D2"/>
    <w:rsid w:val="00C0027C"/>
    <w:rsid w:val="00C0067B"/>
    <w:rsid w:val="00C15518"/>
    <w:rsid w:val="00C1597A"/>
    <w:rsid w:val="00C17E58"/>
    <w:rsid w:val="00C2013B"/>
    <w:rsid w:val="00C23E05"/>
    <w:rsid w:val="00C306B2"/>
    <w:rsid w:val="00C32B62"/>
    <w:rsid w:val="00C43A3C"/>
    <w:rsid w:val="00C45971"/>
    <w:rsid w:val="00C549D3"/>
    <w:rsid w:val="00C61B33"/>
    <w:rsid w:val="00C63B88"/>
    <w:rsid w:val="00C67C5B"/>
    <w:rsid w:val="00C67E17"/>
    <w:rsid w:val="00C70C61"/>
    <w:rsid w:val="00C80FCF"/>
    <w:rsid w:val="00C8114B"/>
    <w:rsid w:val="00C92FF8"/>
    <w:rsid w:val="00C9604E"/>
    <w:rsid w:val="00C97EDD"/>
    <w:rsid w:val="00CA068E"/>
    <w:rsid w:val="00CA219E"/>
    <w:rsid w:val="00CA66F9"/>
    <w:rsid w:val="00CB2C94"/>
    <w:rsid w:val="00CD3499"/>
    <w:rsid w:val="00CD634B"/>
    <w:rsid w:val="00CD6418"/>
    <w:rsid w:val="00CD668F"/>
    <w:rsid w:val="00CE5A23"/>
    <w:rsid w:val="00CF11B2"/>
    <w:rsid w:val="00CF1989"/>
    <w:rsid w:val="00CF22DE"/>
    <w:rsid w:val="00CF371D"/>
    <w:rsid w:val="00CF631D"/>
    <w:rsid w:val="00D04327"/>
    <w:rsid w:val="00D209CE"/>
    <w:rsid w:val="00D229FC"/>
    <w:rsid w:val="00D23463"/>
    <w:rsid w:val="00D263C0"/>
    <w:rsid w:val="00D27A52"/>
    <w:rsid w:val="00D31DB8"/>
    <w:rsid w:val="00D32C8B"/>
    <w:rsid w:val="00D36058"/>
    <w:rsid w:val="00D43255"/>
    <w:rsid w:val="00D50ADB"/>
    <w:rsid w:val="00D57FD0"/>
    <w:rsid w:val="00D62566"/>
    <w:rsid w:val="00D62A19"/>
    <w:rsid w:val="00D65BF7"/>
    <w:rsid w:val="00D65E84"/>
    <w:rsid w:val="00D73881"/>
    <w:rsid w:val="00D74FCE"/>
    <w:rsid w:val="00D75149"/>
    <w:rsid w:val="00D778D7"/>
    <w:rsid w:val="00D815EC"/>
    <w:rsid w:val="00D82C31"/>
    <w:rsid w:val="00D84FE6"/>
    <w:rsid w:val="00D871C8"/>
    <w:rsid w:val="00D90247"/>
    <w:rsid w:val="00D959BB"/>
    <w:rsid w:val="00D9641E"/>
    <w:rsid w:val="00D96E87"/>
    <w:rsid w:val="00DA2038"/>
    <w:rsid w:val="00DA2617"/>
    <w:rsid w:val="00DA72FC"/>
    <w:rsid w:val="00DB58C5"/>
    <w:rsid w:val="00DD08AF"/>
    <w:rsid w:val="00DD1080"/>
    <w:rsid w:val="00DE6516"/>
    <w:rsid w:val="00DF0233"/>
    <w:rsid w:val="00DF0FA0"/>
    <w:rsid w:val="00E051A5"/>
    <w:rsid w:val="00E0612E"/>
    <w:rsid w:val="00E0687D"/>
    <w:rsid w:val="00E0785E"/>
    <w:rsid w:val="00E10ACE"/>
    <w:rsid w:val="00E12A13"/>
    <w:rsid w:val="00E12BF3"/>
    <w:rsid w:val="00E13613"/>
    <w:rsid w:val="00E16A9C"/>
    <w:rsid w:val="00E219DB"/>
    <w:rsid w:val="00E23E94"/>
    <w:rsid w:val="00E23EEF"/>
    <w:rsid w:val="00E317D0"/>
    <w:rsid w:val="00E32B04"/>
    <w:rsid w:val="00E34C3C"/>
    <w:rsid w:val="00E419E6"/>
    <w:rsid w:val="00E50AD3"/>
    <w:rsid w:val="00E50E68"/>
    <w:rsid w:val="00E51AF0"/>
    <w:rsid w:val="00E51D88"/>
    <w:rsid w:val="00E55937"/>
    <w:rsid w:val="00E575EE"/>
    <w:rsid w:val="00E66138"/>
    <w:rsid w:val="00E713F2"/>
    <w:rsid w:val="00E72B96"/>
    <w:rsid w:val="00E755E9"/>
    <w:rsid w:val="00E8345B"/>
    <w:rsid w:val="00E91222"/>
    <w:rsid w:val="00E91F3D"/>
    <w:rsid w:val="00E92BEF"/>
    <w:rsid w:val="00E92EA1"/>
    <w:rsid w:val="00E9425E"/>
    <w:rsid w:val="00E959AA"/>
    <w:rsid w:val="00E95B2D"/>
    <w:rsid w:val="00E97EA1"/>
    <w:rsid w:val="00EA09A9"/>
    <w:rsid w:val="00EA5C97"/>
    <w:rsid w:val="00EA7F3E"/>
    <w:rsid w:val="00EB071D"/>
    <w:rsid w:val="00EB3098"/>
    <w:rsid w:val="00EB3B4E"/>
    <w:rsid w:val="00EB55E5"/>
    <w:rsid w:val="00EB5F7D"/>
    <w:rsid w:val="00EB65DB"/>
    <w:rsid w:val="00EC1332"/>
    <w:rsid w:val="00EC7B3A"/>
    <w:rsid w:val="00ED6967"/>
    <w:rsid w:val="00ED6DE3"/>
    <w:rsid w:val="00EE625F"/>
    <w:rsid w:val="00EE75F6"/>
    <w:rsid w:val="00EF0785"/>
    <w:rsid w:val="00EF37EA"/>
    <w:rsid w:val="00F062B6"/>
    <w:rsid w:val="00F07A04"/>
    <w:rsid w:val="00F211EA"/>
    <w:rsid w:val="00F21E7C"/>
    <w:rsid w:val="00F25F7C"/>
    <w:rsid w:val="00F2758B"/>
    <w:rsid w:val="00F30760"/>
    <w:rsid w:val="00F30DBC"/>
    <w:rsid w:val="00F321AE"/>
    <w:rsid w:val="00F32D32"/>
    <w:rsid w:val="00F37725"/>
    <w:rsid w:val="00F40C90"/>
    <w:rsid w:val="00F464D1"/>
    <w:rsid w:val="00F465F5"/>
    <w:rsid w:val="00F56E59"/>
    <w:rsid w:val="00F60DA2"/>
    <w:rsid w:val="00F62061"/>
    <w:rsid w:val="00F63B7D"/>
    <w:rsid w:val="00F6714D"/>
    <w:rsid w:val="00F71637"/>
    <w:rsid w:val="00F76FB1"/>
    <w:rsid w:val="00F770B3"/>
    <w:rsid w:val="00F8563C"/>
    <w:rsid w:val="00F93032"/>
    <w:rsid w:val="00F9585B"/>
    <w:rsid w:val="00F96DCC"/>
    <w:rsid w:val="00FB2DE8"/>
    <w:rsid w:val="00FB5985"/>
    <w:rsid w:val="00FB779C"/>
    <w:rsid w:val="00FD1745"/>
    <w:rsid w:val="00FD24B9"/>
    <w:rsid w:val="00FE1328"/>
    <w:rsid w:val="00FE429F"/>
    <w:rsid w:val="00FE61C4"/>
    <w:rsid w:val="00FF2ECF"/>
    <w:rsid w:val="025E2CEB"/>
    <w:rsid w:val="046C1B41"/>
    <w:rsid w:val="04844854"/>
    <w:rsid w:val="069A0413"/>
    <w:rsid w:val="06B115D9"/>
    <w:rsid w:val="06D82C35"/>
    <w:rsid w:val="06EA2755"/>
    <w:rsid w:val="080E2FD5"/>
    <w:rsid w:val="08B87E06"/>
    <w:rsid w:val="0916503F"/>
    <w:rsid w:val="09420839"/>
    <w:rsid w:val="094461D7"/>
    <w:rsid w:val="0985591C"/>
    <w:rsid w:val="0ADE52FB"/>
    <w:rsid w:val="0B0C55A3"/>
    <w:rsid w:val="0B217A14"/>
    <w:rsid w:val="0CA8761B"/>
    <w:rsid w:val="0DD77958"/>
    <w:rsid w:val="0F280891"/>
    <w:rsid w:val="0F5B4E62"/>
    <w:rsid w:val="0FB13D22"/>
    <w:rsid w:val="12210700"/>
    <w:rsid w:val="1487776D"/>
    <w:rsid w:val="17830DC8"/>
    <w:rsid w:val="18B36CD9"/>
    <w:rsid w:val="18F23BAF"/>
    <w:rsid w:val="19683E50"/>
    <w:rsid w:val="197E7326"/>
    <w:rsid w:val="1BFC4701"/>
    <w:rsid w:val="1CE840C4"/>
    <w:rsid w:val="22534124"/>
    <w:rsid w:val="22A1001F"/>
    <w:rsid w:val="23955D95"/>
    <w:rsid w:val="24125580"/>
    <w:rsid w:val="24683C57"/>
    <w:rsid w:val="248D49AE"/>
    <w:rsid w:val="25C96113"/>
    <w:rsid w:val="27044AC0"/>
    <w:rsid w:val="27223D2C"/>
    <w:rsid w:val="28C30296"/>
    <w:rsid w:val="290A142C"/>
    <w:rsid w:val="2AEF3F25"/>
    <w:rsid w:val="2B920D55"/>
    <w:rsid w:val="2BFB0394"/>
    <w:rsid w:val="2CBB50FA"/>
    <w:rsid w:val="2F65383E"/>
    <w:rsid w:val="2F823F28"/>
    <w:rsid w:val="2F8F217B"/>
    <w:rsid w:val="2FDB4C15"/>
    <w:rsid w:val="30401288"/>
    <w:rsid w:val="311C359A"/>
    <w:rsid w:val="32DB1233"/>
    <w:rsid w:val="34154CEF"/>
    <w:rsid w:val="343B7960"/>
    <w:rsid w:val="34B0426D"/>
    <w:rsid w:val="35D97CAC"/>
    <w:rsid w:val="365B31C9"/>
    <w:rsid w:val="36E35A92"/>
    <w:rsid w:val="36F54FB9"/>
    <w:rsid w:val="37063CFB"/>
    <w:rsid w:val="37CA3313"/>
    <w:rsid w:val="380F20AB"/>
    <w:rsid w:val="393950DD"/>
    <w:rsid w:val="394F4BB1"/>
    <w:rsid w:val="395D35BD"/>
    <w:rsid w:val="39DE3D6C"/>
    <w:rsid w:val="3A79380C"/>
    <w:rsid w:val="3EED6D11"/>
    <w:rsid w:val="3F4A776A"/>
    <w:rsid w:val="3FCB7CAF"/>
    <w:rsid w:val="40AB7EE9"/>
    <w:rsid w:val="41F2243E"/>
    <w:rsid w:val="428B51AB"/>
    <w:rsid w:val="428F6030"/>
    <w:rsid w:val="436F1C50"/>
    <w:rsid w:val="43823E4F"/>
    <w:rsid w:val="43A12089"/>
    <w:rsid w:val="43E75B1B"/>
    <w:rsid w:val="455410FD"/>
    <w:rsid w:val="459E681C"/>
    <w:rsid w:val="4601059C"/>
    <w:rsid w:val="4A514330"/>
    <w:rsid w:val="4B267DB8"/>
    <w:rsid w:val="4B9641D8"/>
    <w:rsid w:val="4BC349BE"/>
    <w:rsid w:val="4CB973DA"/>
    <w:rsid w:val="4D8A1F62"/>
    <w:rsid w:val="4E211208"/>
    <w:rsid w:val="4F914EF7"/>
    <w:rsid w:val="502C2160"/>
    <w:rsid w:val="50854FFE"/>
    <w:rsid w:val="50B017B3"/>
    <w:rsid w:val="50DC2D23"/>
    <w:rsid w:val="52B4142D"/>
    <w:rsid w:val="53177E01"/>
    <w:rsid w:val="538A3F15"/>
    <w:rsid w:val="542C1497"/>
    <w:rsid w:val="54DB4F01"/>
    <w:rsid w:val="561E49EC"/>
    <w:rsid w:val="57236B81"/>
    <w:rsid w:val="581D55CA"/>
    <w:rsid w:val="58BE7724"/>
    <w:rsid w:val="58CB214C"/>
    <w:rsid w:val="58FF6EB9"/>
    <w:rsid w:val="59E71A69"/>
    <w:rsid w:val="5A1F5C51"/>
    <w:rsid w:val="5C852059"/>
    <w:rsid w:val="5C980EDD"/>
    <w:rsid w:val="5CF5392A"/>
    <w:rsid w:val="5D852799"/>
    <w:rsid w:val="5D985B27"/>
    <w:rsid w:val="5E3B6EA6"/>
    <w:rsid w:val="5EE66874"/>
    <w:rsid w:val="5F890105"/>
    <w:rsid w:val="6107427F"/>
    <w:rsid w:val="61786D7A"/>
    <w:rsid w:val="61A731DC"/>
    <w:rsid w:val="61AE0E38"/>
    <w:rsid w:val="626E5EB0"/>
    <w:rsid w:val="626E61C2"/>
    <w:rsid w:val="62970456"/>
    <w:rsid w:val="629F366F"/>
    <w:rsid w:val="63260B38"/>
    <w:rsid w:val="65A417D5"/>
    <w:rsid w:val="65AD1404"/>
    <w:rsid w:val="676F1ED1"/>
    <w:rsid w:val="67AE25AD"/>
    <w:rsid w:val="6803789C"/>
    <w:rsid w:val="68105FE2"/>
    <w:rsid w:val="68CE1FB5"/>
    <w:rsid w:val="695174F4"/>
    <w:rsid w:val="6D5B09CB"/>
    <w:rsid w:val="6DB9605E"/>
    <w:rsid w:val="6DBF3C2A"/>
    <w:rsid w:val="6EF70BC7"/>
    <w:rsid w:val="6FF670D1"/>
    <w:rsid w:val="70C27B45"/>
    <w:rsid w:val="727662A7"/>
    <w:rsid w:val="72C565B1"/>
    <w:rsid w:val="73AB4ED8"/>
    <w:rsid w:val="741D36AE"/>
    <w:rsid w:val="74AB66DC"/>
    <w:rsid w:val="74B530B7"/>
    <w:rsid w:val="769B19C5"/>
    <w:rsid w:val="78DF0967"/>
    <w:rsid w:val="797235CF"/>
    <w:rsid w:val="7AFA0F2F"/>
    <w:rsid w:val="7B3A7748"/>
    <w:rsid w:val="7BCC294E"/>
    <w:rsid w:val="7C423E53"/>
    <w:rsid w:val="7E0E4A57"/>
    <w:rsid w:val="7E2A5E3A"/>
    <w:rsid w:val="7E710551"/>
    <w:rsid w:val="7F6332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A2E968E"/>
  <w15:docId w15:val="{6108FD0C-0AAA-4291-BB1B-74207AB2B0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semiHidden="1" w:uiPriority="59" w:unhideWhenUsed="1"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djustRightInd w:val="0"/>
      <w:snapToGrid w:val="0"/>
      <w:spacing w:line="360" w:lineRule="auto"/>
      <w:ind w:firstLineChars="200" w:firstLine="883"/>
      <w:jc w:val="both"/>
    </w:pPr>
    <w:rPr>
      <w:rFonts w:eastAsia="仿宋"/>
      <w:kern w:val="2"/>
      <w:sz w:val="24"/>
      <w:szCs w:val="22"/>
    </w:rPr>
  </w:style>
  <w:style w:type="paragraph" w:styleId="1">
    <w:name w:val="heading 1"/>
    <w:basedOn w:val="a"/>
    <w:next w:val="a"/>
    <w:link w:val="10"/>
    <w:uiPriority w:val="9"/>
    <w:qFormat/>
    <w:pPr>
      <w:widowControl/>
      <w:adjustRightInd/>
      <w:snapToGrid/>
      <w:spacing w:before="100" w:beforeAutospacing="1" w:after="100" w:afterAutospacing="1" w:line="240" w:lineRule="auto"/>
      <w:ind w:firstLineChars="0" w:firstLine="0"/>
      <w:jc w:val="left"/>
      <w:outlineLvl w:val="0"/>
    </w:pPr>
    <w:rPr>
      <w:rFonts w:ascii="宋体" w:eastAsia="宋体" w:hAnsi="宋体" w:cs="宋体"/>
      <w:b/>
      <w:bCs/>
      <w:kern w:val="36"/>
      <w:sz w:val="48"/>
      <w:szCs w:val="48"/>
    </w:rPr>
  </w:style>
  <w:style w:type="paragraph" w:styleId="2">
    <w:name w:val="heading 2"/>
    <w:basedOn w:val="a"/>
    <w:next w:val="a"/>
    <w:link w:val="20"/>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nhideWhenUsed/>
    <w:qFormat/>
    <w:pPr>
      <w:keepNext/>
      <w:keepLines/>
      <w:adjustRightInd/>
      <w:snapToGrid/>
      <w:spacing w:before="260" w:after="260" w:line="416" w:lineRule="auto"/>
      <w:ind w:firstLineChars="0" w:firstLine="0"/>
      <w:outlineLvl w:val="2"/>
    </w:pPr>
    <w:rPr>
      <w:rFonts w:ascii="Calibri" w:eastAsia="宋体" w:hAnsi="Calibr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unhideWhenUsed/>
    <w:qFormat/>
    <w:pPr>
      <w:jc w:val="left"/>
    </w:pPr>
  </w:style>
  <w:style w:type="paragraph" w:styleId="a5">
    <w:name w:val="Body Text Indent"/>
    <w:basedOn w:val="a"/>
    <w:uiPriority w:val="99"/>
    <w:semiHidden/>
    <w:qFormat/>
    <w:pPr>
      <w:tabs>
        <w:tab w:val="left" w:pos="8505"/>
      </w:tabs>
      <w:spacing w:before="156"/>
      <w:ind w:firstLine="480"/>
    </w:pPr>
    <w:rPr>
      <w:rFonts w:eastAsia="宋体"/>
      <w:szCs w:val="24"/>
    </w:rPr>
  </w:style>
  <w:style w:type="paragraph" w:styleId="a6">
    <w:name w:val="Balloon Text"/>
    <w:basedOn w:val="a"/>
    <w:link w:val="a7"/>
    <w:uiPriority w:val="99"/>
    <w:semiHidden/>
    <w:unhideWhenUsed/>
    <w:qFormat/>
    <w:pPr>
      <w:spacing w:line="240" w:lineRule="auto"/>
    </w:pPr>
    <w:rPr>
      <w:sz w:val="18"/>
      <w:szCs w:val="18"/>
    </w:rPr>
  </w:style>
  <w:style w:type="paragraph" w:styleId="a8">
    <w:name w:val="footer"/>
    <w:basedOn w:val="a"/>
    <w:link w:val="a9"/>
    <w:uiPriority w:val="99"/>
    <w:unhideWhenUsed/>
    <w:qFormat/>
    <w:pPr>
      <w:tabs>
        <w:tab w:val="center" w:pos="4153"/>
        <w:tab w:val="right" w:pos="8306"/>
      </w:tabs>
      <w:spacing w:line="240" w:lineRule="auto"/>
      <w:jc w:val="left"/>
    </w:pPr>
    <w:rPr>
      <w:sz w:val="18"/>
      <w:szCs w:val="18"/>
    </w:rPr>
  </w:style>
  <w:style w:type="paragraph" w:styleId="aa">
    <w:name w:val="header"/>
    <w:basedOn w:val="a"/>
    <w:link w:val="ab"/>
    <w:uiPriority w:val="99"/>
    <w:unhideWhenUsed/>
    <w:qFormat/>
    <w:pPr>
      <w:tabs>
        <w:tab w:val="center" w:pos="4153"/>
        <w:tab w:val="right" w:pos="8306"/>
      </w:tabs>
      <w:spacing w:line="240" w:lineRule="auto"/>
      <w:jc w:val="center"/>
    </w:pPr>
    <w:rPr>
      <w:sz w:val="18"/>
      <w:szCs w:val="18"/>
    </w:rPr>
  </w:style>
  <w:style w:type="paragraph" w:styleId="11">
    <w:name w:val="toc 1"/>
    <w:basedOn w:val="a"/>
    <w:next w:val="a"/>
    <w:autoRedefine/>
    <w:uiPriority w:val="39"/>
    <w:unhideWhenUsed/>
    <w:qFormat/>
    <w:pPr>
      <w:tabs>
        <w:tab w:val="right" w:leader="dot" w:pos="8296"/>
      </w:tabs>
      <w:ind w:firstLineChars="0" w:firstLine="0"/>
    </w:pPr>
    <w:rPr>
      <w:rFonts w:eastAsia="宋体"/>
      <w:b/>
      <w:sz w:val="28"/>
      <w:lang w:val="zh-CN"/>
    </w:rPr>
  </w:style>
  <w:style w:type="paragraph" w:styleId="21">
    <w:name w:val="toc 2"/>
    <w:basedOn w:val="a"/>
    <w:next w:val="a"/>
    <w:autoRedefine/>
    <w:uiPriority w:val="39"/>
    <w:unhideWhenUsed/>
    <w:qFormat/>
    <w:pPr>
      <w:tabs>
        <w:tab w:val="right" w:leader="dot" w:pos="8296"/>
      </w:tabs>
      <w:ind w:firstLine="560"/>
    </w:pPr>
    <w:rPr>
      <w:rFonts w:eastAsia="宋体"/>
      <w:sz w:val="28"/>
    </w:rPr>
  </w:style>
  <w:style w:type="paragraph" w:styleId="ac">
    <w:name w:val="annotation subject"/>
    <w:basedOn w:val="a3"/>
    <w:next w:val="a3"/>
    <w:link w:val="ad"/>
    <w:uiPriority w:val="99"/>
    <w:semiHidden/>
    <w:unhideWhenUsed/>
    <w:qFormat/>
    <w:rPr>
      <w:b/>
      <w:bCs/>
    </w:rPr>
  </w:style>
  <w:style w:type="table" w:styleId="ae">
    <w:name w:val="Table Grid"/>
    <w:basedOn w:val="a1"/>
    <w:uiPriority w:val="59"/>
    <w:unhideWhenUsed/>
    <w:qFormat/>
    <w:rPr>
      <w:rFonts w:ascii="宋体" w:hAns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
    <w:name w:val="Strong"/>
    <w:basedOn w:val="a0"/>
    <w:uiPriority w:val="22"/>
    <w:qFormat/>
    <w:rPr>
      <w:b/>
    </w:rPr>
  </w:style>
  <w:style w:type="character" w:styleId="af0">
    <w:name w:val="Emphasis"/>
    <w:basedOn w:val="a0"/>
    <w:uiPriority w:val="20"/>
    <w:qFormat/>
    <w:rPr>
      <w:i/>
    </w:rPr>
  </w:style>
  <w:style w:type="character" w:styleId="af1">
    <w:name w:val="Hyperlink"/>
    <w:basedOn w:val="a0"/>
    <w:uiPriority w:val="99"/>
    <w:unhideWhenUsed/>
    <w:qFormat/>
    <w:rPr>
      <w:color w:val="0563C1" w:themeColor="hyperlink"/>
      <w:u w:val="single"/>
    </w:rPr>
  </w:style>
  <w:style w:type="character" w:styleId="af2">
    <w:name w:val="annotation reference"/>
    <w:basedOn w:val="a0"/>
    <w:uiPriority w:val="99"/>
    <w:semiHidden/>
    <w:unhideWhenUsed/>
    <w:qFormat/>
    <w:rPr>
      <w:sz w:val="21"/>
      <w:szCs w:val="21"/>
    </w:rPr>
  </w:style>
  <w:style w:type="character" w:customStyle="1" w:styleId="ab">
    <w:name w:val="页眉 字符"/>
    <w:basedOn w:val="a0"/>
    <w:link w:val="aa"/>
    <w:uiPriority w:val="99"/>
    <w:qFormat/>
    <w:rPr>
      <w:rFonts w:ascii="Times New Roman" w:eastAsia="仿宋" w:hAnsi="Times New Roman" w:cs="Times New Roman"/>
      <w:sz w:val="18"/>
      <w:szCs w:val="18"/>
      <w14:ligatures w14:val="none"/>
    </w:rPr>
  </w:style>
  <w:style w:type="character" w:customStyle="1" w:styleId="a9">
    <w:name w:val="页脚 字符"/>
    <w:basedOn w:val="a0"/>
    <w:link w:val="a8"/>
    <w:uiPriority w:val="99"/>
    <w:qFormat/>
    <w:rPr>
      <w:rFonts w:ascii="Times New Roman" w:eastAsia="仿宋" w:hAnsi="Times New Roman" w:cs="Times New Roman"/>
      <w:sz w:val="18"/>
      <w:szCs w:val="18"/>
      <w14:ligatures w14:val="none"/>
    </w:rPr>
  </w:style>
  <w:style w:type="paragraph" w:customStyle="1" w:styleId="af3">
    <w:name w:val="段"/>
    <w:link w:val="Char"/>
    <w:uiPriority w:val="99"/>
    <w:qFormat/>
    <w:pPr>
      <w:autoSpaceDE w:val="0"/>
      <w:autoSpaceDN w:val="0"/>
      <w:ind w:firstLineChars="200" w:firstLine="200"/>
      <w:jc w:val="both"/>
    </w:pPr>
    <w:rPr>
      <w:rFonts w:ascii="宋体"/>
      <w:sz w:val="21"/>
    </w:rPr>
  </w:style>
  <w:style w:type="character" w:customStyle="1" w:styleId="Char">
    <w:name w:val="段 Char"/>
    <w:link w:val="af3"/>
    <w:uiPriority w:val="99"/>
    <w:qFormat/>
    <w:rPr>
      <w:rFonts w:ascii="宋体" w:eastAsia="宋体" w:hAnsi="Times New Roman" w:cs="Times New Roman"/>
      <w:kern w:val="0"/>
      <w:szCs w:val="20"/>
      <w14:ligatures w14:val="none"/>
    </w:rPr>
  </w:style>
  <w:style w:type="paragraph" w:customStyle="1" w:styleId="af4">
    <w:name w:val="封面正文"/>
    <w:qFormat/>
    <w:pPr>
      <w:jc w:val="both"/>
    </w:pPr>
  </w:style>
  <w:style w:type="character" w:customStyle="1" w:styleId="a4">
    <w:name w:val="批注文字 字符"/>
    <w:basedOn w:val="a0"/>
    <w:link w:val="a3"/>
    <w:uiPriority w:val="99"/>
    <w:qFormat/>
    <w:rPr>
      <w:rFonts w:ascii="Times New Roman" w:eastAsia="仿宋" w:hAnsi="Times New Roman" w:cs="Times New Roman"/>
      <w:sz w:val="24"/>
      <w14:ligatures w14:val="none"/>
    </w:rPr>
  </w:style>
  <w:style w:type="character" w:customStyle="1" w:styleId="10">
    <w:name w:val="标题 1 字符"/>
    <w:basedOn w:val="a0"/>
    <w:link w:val="1"/>
    <w:uiPriority w:val="9"/>
    <w:qFormat/>
    <w:rPr>
      <w:rFonts w:ascii="宋体" w:eastAsia="宋体" w:hAnsi="宋体" w:cs="宋体"/>
      <w:b/>
      <w:bCs/>
      <w:kern w:val="36"/>
      <w:sz w:val="48"/>
      <w:szCs w:val="48"/>
      <w14:ligatures w14:val="none"/>
    </w:rPr>
  </w:style>
  <w:style w:type="character" w:customStyle="1" w:styleId="ad">
    <w:name w:val="批注主题 字符"/>
    <w:basedOn w:val="a4"/>
    <w:link w:val="ac"/>
    <w:uiPriority w:val="99"/>
    <w:semiHidden/>
    <w:qFormat/>
    <w:rPr>
      <w:rFonts w:ascii="Times New Roman" w:eastAsia="仿宋" w:hAnsi="Times New Roman" w:cs="Times New Roman"/>
      <w:b/>
      <w:bCs/>
      <w:sz w:val="24"/>
      <w14:ligatures w14:val="none"/>
    </w:rPr>
  </w:style>
  <w:style w:type="character" w:customStyle="1" w:styleId="font21">
    <w:name w:val="font21"/>
    <w:basedOn w:val="a0"/>
    <w:qFormat/>
    <w:rPr>
      <w:rFonts w:ascii="宋体" w:eastAsia="宋体" w:hAnsi="宋体" w:cs="宋体" w:hint="eastAsia"/>
      <w:color w:val="000000"/>
      <w:sz w:val="22"/>
      <w:szCs w:val="22"/>
      <w:u w:val="none"/>
    </w:rPr>
  </w:style>
  <w:style w:type="character" w:customStyle="1" w:styleId="font11">
    <w:name w:val="font11"/>
    <w:basedOn w:val="a0"/>
    <w:qFormat/>
    <w:rPr>
      <w:rFonts w:ascii="Times New Roman" w:hAnsi="Times New Roman" w:cs="Times New Roman" w:hint="default"/>
      <w:color w:val="000000"/>
      <w:sz w:val="22"/>
      <w:szCs w:val="22"/>
      <w:u w:val="none"/>
    </w:rPr>
  </w:style>
  <w:style w:type="paragraph" w:customStyle="1" w:styleId="12">
    <w:name w:val="修订1"/>
    <w:hidden/>
    <w:uiPriority w:val="99"/>
    <w:unhideWhenUsed/>
    <w:qFormat/>
    <w:rPr>
      <w:rFonts w:eastAsia="仿宋"/>
      <w:kern w:val="2"/>
      <w:sz w:val="24"/>
      <w:szCs w:val="22"/>
    </w:rPr>
  </w:style>
  <w:style w:type="paragraph" w:customStyle="1" w:styleId="13">
    <w:name w:val="样式1"/>
    <w:basedOn w:val="a"/>
    <w:qFormat/>
    <w:pPr>
      <w:snapToGrid/>
      <w:ind w:firstLine="200"/>
      <w:contextualSpacing/>
    </w:pPr>
    <w:rPr>
      <w:rFonts w:eastAsia="宋体"/>
      <w:color w:val="000000"/>
      <w:sz w:val="28"/>
    </w:rPr>
  </w:style>
  <w:style w:type="paragraph" w:customStyle="1" w:styleId="22">
    <w:name w:val="样式2"/>
    <w:basedOn w:val="a"/>
    <w:qFormat/>
    <w:pPr>
      <w:snapToGrid/>
      <w:ind w:firstLine="200"/>
      <w:contextualSpacing/>
      <w:outlineLvl w:val="1"/>
    </w:pPr>
    <w:rPr>
      <w:rFonts w:eastAsia="楷体_GB2312"/>
      <w:b/>
      <w:bCs/>
      <w:color w:val="000000"/>
      <w:sz w:val="28"/>
      <w:szCs w:val="24"/>
    </w:rPr>
  </w:style>
  <w:style w:type="character" w:customStyle="1" w:styleId="30">
    <w:name w:val="标题 3 字符"/>
    <w:basedOn w:val="a0"/>
    <w:link w:val="3"/>
    <w:qFormat/>
    <w:rPr>
      <w:rFonts w:ascii="Calibri" w:hAnsi="Calibri"/>
      <w:b/>
      <w:bCs/>
      <w:kern w:val="2"/>
      <w:sz w:val="32"/>
      <w:szCs w:val="32"/>
    </w:rPr>
  </w:style>
  <w:style w:type="paragraph" w:styleId="af5">
    <w:name w:val="List Paragraph"/>
    <w:basedOn w:val="a"/>
    <w:uiPriority w:val="34"/>
    <w:qFormat/>
    <w:pPr>
      <w:adjustRightInd/>
      <w:snapToGrid/>
      <w:spacing w:line="240" w:lineRule="auto"/>
      <w:ind w:firstLine="420"/>
    </w:pPr>
    <w:rPr>
      <w:rFonts w:ascii="Calibri" w:eastAsia="宋体" w:hAnsi="Calibri"/>
      <w:sz w:val="21"/>
    </w:rPr>
  </w:style>
  <w:style w:type="paragraph" w:customStyle="1" w:styleId="af6">
    <w:name w:val="图题表题"/>
    <w:basedOn w:val="a"/>
    <w:qFormat/>
    <w:pPr>
      <w:ind w:firstLineChars="0" w:firstLine="0"/>
      <w:jc w:val="center"/>
    </w:pPr>
    <w:rPr>
      <w:rFonts w:eastAsia="黑体"/>
    </w:rPr>
  </w:style>
  <w:style w:type="table" w:customStyle="1" w:styleId="14">
    <w:name w:val="网格型1"/>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修订2"/>
    <w:hidden/>
    <w:uiPriority w:val="99"/>
    <w:unhideWhenUsed/>
    <w:qFormat/>
    <w:rPr>
      <w:rFonts w:eastAsia="仿宋"/>
      <w:kern w:val="2"/>
      <w:sz w:val="24"/>
      <w:szCs w:val="22"/>
    </w:rPr>
  </w:style>
  <w:style w:type="character" w:customStyle="1" w:styleId="a7">
    <w:name w:val="批注框文本 字符"/>
    <w:basedOn w:val="a0"/>
    <w:link w:val="a6"/>
    <w:uiPriority w:val="99"/>
    <w:semiHidden/>
    <w:qFormat/>
    <w:rPr>
      <w:rFonts w:eastAsia="仿宋"/>
      <w:kern w:val="2"/>
      <w:sz w:val="18"/>
      <w:szCs w:val="18"/>
    </w:rPr>
  </w:style>
  <w:style w:type="character" w:customStyle="1" w:styleId="font71">
    <w:name w:val="font71"/>
    <w:basedOn w:val="a0"/>
    <w:qFormat/>
    <w:rPr>
      <w:rFonts w:ascii="等线" w:eastAsia="等线" w:hAnsi="等线" w:cs="等线" w:hint="eastAsia"/>
      <w:color w:val="000000"/>
      <w:sz w:val="22"/>
      <w:szCs w:val="22"/>
      <w:u w:val="none"/>
    </w:rPr>
  </w:style>
  <w:style w:type="character" w:customStyle="1" w:styleId="font61">
    <w:name w:val="font61"/>
    <w:basedOn w:val="a0"/>
    <w:qFormat/>
    <w:rPr>
      <w:rFonts w:ascii="Times New Roman" w:hAnsi="Times New Roman" w:cs="Times New Roman" w:hint="default"/>
      <w:color w:val="000000"/>
      <w:sz w:val="22"/>
      <w:szCs w:val="22"/>
      <w:u w:val="none"/>
    </w:rPr>
  </w:style>
  <w:style w:type="paragraph" w:customStyle="1" w:styleId="31">
    <w:name w:val="修订3"/>
    <w:hidden/>
    <w:uiPriority w:val="99"/>
    <w:unhideWhenUsed/>
    <w:qFormat/>
    <w:rPr>
      <w:rFonts w:eastAsia="仿宋"/>
      <w:kern w:val="2"/>
      <w:sz w:val="24"/>
      <w:szCs w:val="22"/>
    </w:rPr>
  </w:style>
  <w:style w:type="character" w:customStyle="1" w:styleId="15">
    <w:name w:val="未处理的提及1"/>
    <w:basedOn w:val="a0"/>
    <w:uiPriority w:val="99"/>
    <w:semiHidden/>
    <w:unhideWhenUsed/>
    <w:qFormat/>
    <w:rPr>
      <w:color w:val="605E5C"/>
      <w:shd w:val="clear" w:color="auto" w:fill="E1DFDD"/>
    </w:rPr>
  </w:style>
  <w:style w:type="paragraph" w:customStyle="1" w:styleId="af7">
    <w:name w:val="封面标准英文名称"/>
    <w:basedOn w:val="af8"/>
    <w:qFormat/>
    <w:pPr>
      <w:framePr w:wrap="around"/>
      <w:spacing w:before="370" w:line="400" w:lineRule="exact"/>
    </w:pPr>
    <w:rPr>
      <w:rFonts w:ascii="Times New Roman"/>
      <w:sz w:val="28"/>
      <w:szCs w:val="28"/>
    </w:rPr>
  </w:style>
  <w:style w:type="paragraph" w:customStyle="1" w:styleId="af8">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character" w:customStyle="1" w:styleId="20">
    <w:name w:val="标题 2 字符"/>
    <w:basedOn w:val="a0"/>
    <w:link w:val="2"/>
    <w:uiPriority w:val="9"/>
    <w:semiHidden/>
    <w:qFormat/>
    <w:rPr>
      <w:rFonts w:asciiTheme="majorHAnsi" w:eastAsiaTheme="majorEastAsia" w:hAnsiTheme="majorHAnsi" w:cstheme="majorBidi"/>
      <w:b/>
      <w:bCs/>
      <w:kern w:val="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emf"/><Relationship Id="rId21" Type="http://schemas.openxmlformats.org/officeDocument/2006/relationships/image" Target="media/image8.png"/><Relationship Id="rId34" Type="http://schemas.openxmlformats.org/officeDocument/2006/relationships/image" Target="media/image20.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oleObject" Target="embeddings/oleObject1.bin"/><Relationship Id="rId35" Type="http://schemas.openxmlformats.org/officeDocument/2006/relationships/image" Target="media/image21.png"/><Relationship Id="rId8" Type="http://schemas.openxmlformats.org/officeDocument/2006/relationships/header" Target="header1.xml"/><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CF091F-293A-4038-9195-913EB59115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873</TotalTime>
  <Pages>42</Pages>
  <Words>3057</Words>
  <Characters>17426</Characters>
  <Application>Microsoft Office Word</Application>
  <DocSecurity>0</DocSecurity>
  <Lines>145</Lines>
  <Paragraphs>40</Paragraphs>
  <ScaleCrop>false</ScaleCrop>
  <Company/>
  <LinksUpToDate>false</LinksUpToDate>
  <CharactersWithSpaces>20443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dc:creator>
  <cp:lastModifiedBy>xupx</cp:lastModifiedBy>
  <cp:revision>31</cp:revision>
  <cp:lastPrinted>2025-12-01T02:16:00Z</cp:lastPrinted>
  <dcterms:created xsi:type="dcterms:W3CDTF">2025-12-18T13:43:00Z</dcterms:created>
  <dcterms:modified xsi:type="dcterms:W3CDTF">2026-04-03T01:44:00Z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71FAAEF2C1464E2EA0B2B561DF80B5A8_13</vt:lpwstr>
  </property>
  <property fmtid="{D5CDD505-2E9C-101B-9397-08002B2CF9AE}" pid="4" name="MSIP_Label_defa4170-0d19-0005-0004-bc88714345d2_Enabled">
    <vt:lpwstr>true</vt:lpwstr>
  </property>
  <property fmtid="{D5CDD505-2E9C-101B-9397-08002B2CF9AE}" pid="5" name="MSIP_Label_defa4170-0d19-0005-0004-bc88714345d2_SetDate">
    <vt:lpwstr>2024-06-30T08:45:30Z</vt:lpwstr>
  </property>
  <property fmtid="{D5CDD505-2E9C-101B-9397-08002B2CF9AE}" pid="6" name="MSIP_Label_defa4170-0d19-0005-0004-bc88714345d2_Method">
    <vt:lpwstr>Standard</vt:lpwstr>
  </property>
  <property fmtid="{D5CDD505-2E9C-101B-9397-08002B2CF9AE}" pid="7" name="MSIP_Label_defa4170-0d19-0005-0004-bc88714345d2_Name">
    <vt:lpwstr>defa4170-0d19-0005-0004-bc88714345d2</vt:lpwstr>
  </property>
  <property fmtid="{D5CDD505-2E9C-101B-9397-08002B2CF9AE}" pid="8" name="MSIP_Label_defa4170-0d19-0005-0004-bc88714345d2_SiteId">
    <vt:lpwstr>0a255908-a6bc-4681-a056-ea513f85c714</vt:lpwstr>
  </property>
  <property fmtid="{D5CDD505-2E9C-101B-9397-08002B2CF9AE}" pid="9" name="MSIP_Label_defa4170-0d19-0005-0004-bc88714345d2_ActionId">
    <vt:lpwstr>7b4a2775-f22d-4311-b5f9-745586413e8a</vt:lpwstr>
  </property>
  <property fmtid="{D5CDD505-2E9C-101B-9397-08002B2CF9AE}" pid="10" name="MSIP_Label_defa4170-0d19-0005-0004-bc88714345d2_ContentBits">
    <vt:lpwstr>0</vt:lpwstr>
  </property>
  <property fmtid="{D5CDD505-2E9C-101B-9397-08002B2CF9AE}" pid="11" name="KSOTemplateDocerSaveRecord">
    <vt:lpwstr>eyJoZGlkIjoiNzI0NmE2NjhjZTE4ZjM4Mjc5ZDBiY2E4NzExYWZmZGYiLCJ1c2VySWQiOiI2MDM4OTQzNzgifQ==</vt:lpwstr>
  </property>
</Properties>
</file>